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F177D" w14:textId="67F8CB36" w:rsidR="000F6F98" w:rsidRDefault="0077010C" w:rsidP="000F6F98">
      <w:pPr>
        <w:spacing w:after="120" w:line="240" w:lineRule="auto"/>
        <w:ind w:firstLine="567"/>
        <w:jc w:val="both"/>
        <w:rPr>
          <w:rFonts w:ascii="Times New Roman" w:hAnsi="Times New Roman" w:cs="Times New Roman"/>
          <w:color w:val="0000FF"/>
          <w:lang w:val="en-US"/>
        </w:rPr>
      </w:pPr>
      <w:r w:rsidRPr="00BF18CD">
        <w:rPr>
          <w:rFonts w:ascii="Times New Roman" w:hAnsi="Times New Roman" w:cs="Times New Roman"/>
          <w:color w:val="0000FF"/>
          <w:lang w:val="en-US"/>
        </w:rPr>
        <w:t>Trong thời gia</w:t>
      </w:r>
      <w:r w:rsidR="008B4C39">
        <w:rPr>
          <w:rFonts w:ascii="Times New Roman" w:hAnsi="Times New Roman" w:cs="Times New Roman"/>
          <w:color w:val="0000FF"/>
          <w:lang w:val="en-US"/>
        </w:rPr>
        <w:t>n</w:t>
      </w:r>
      <w:r w:rsidRPr="00BF18CD">
        <w:rPr>
          <w:rFonts w:ascii="Times New Roman" w:hAnsi="Times New Roman" w:cs="Times New Roman"/>
          <w:color w:val="0000FF"/>
          <w:lang w:val="en-US"/>
        </w:rPr>
        <w:t xml:space="preserve"> vừa qua, công tác giám sát, đáp ứng kiểm soát và đánh giá nguy cơ tình hình dịch bệnh COVID-19 được triển khai đồng bộ thống nhất từ Trung ương đến cơ sở. Từ đầu năm 2025 đến nay, cả nước ghi nhận rải rác 641 trường hợp mắc tại 39 tỉnh, thành phố, không có tử vong. Trong đó TP. Hà Nội (153 trường hợp mắc), TP. Hải Phòng (138), TP. Hồ Chí Minh (80), Quảng Ninh (46), Bắc Giang (24), Bắc Ninh (24), Thái Nguyên (23), 32 tỉnh, thành phố khác ghi nhận rải rác dưới 20 ca mắc/tỉnh, hiện nay không ghi nhận các ổ dịch tập trung, tuy nhiên có sự gia tăng nhẹ trong 3 tuần gần đây.</w:t>
      </w:r>
    </w:p>
    <w:p w14:paraId="47F3A5E1" w14:textId="3315D3E7" w:rsidR="0077010C" w:rsidRPr="00BF18CD" w:rsidRDefault="0077010C" w:rsidP="000F6F98">
      <w:pPr>
        <w:spacing w:after="120" w:line="240" w:lineRule="auto"/>
        <w:ind w:firstLine="567"/>
        <w:jc w:val="both"/>
        <w:rPr>
          <w:rFonts w:ascii="Times New Roman" w:hAnsi="Times New Roman" w:cs="Times New Roman"/>
          <w:color w:val="0000FF"/>
          <w:lang w:val="en-US"/>
        </w:rPr>
      </w:pPr>
      <w:r w:rsidRPr="00BF18CD">
        <w:rPr>
          <w:rFonts w:ascii="Times New Roman" w:hAnsi="Times New Roman" w:cs="Times New Roman"/>
          <w:color w:val="0000FF"/>
          <w:lang w:val="en-US"/>
        </w:rPr>
        <w:t xml:space="preserve">Theo báo cáo số 5563/SYT-NVY ngày 26/5/2025 của Sở Y tế TP Hồ Minh về giám sát biến chủng COVID-19 trên địa bàn Thành phố, ghi nhận trong tuần thứ 3 của tháng 5, với 6 trường hợp </w:t>
      </w:r>
      <w:r w:rsidR="006B37FE" w:rsidRPr="00BF18CD">
        <w:rPr>
          <w:rFonts w:ascii="Times New Roman" w:hAnsi="Times New Roman" w:cs="Times New Roman"/>
          <w:color w:val="0000FF"/>
          <w:lang w:val="en-US"/>
        </w:rPr>
        <w:t xml:space="preserve">bệnh </w:t>
      </w:r>
      <w:r w:rsidRPr="00BF18CD">
        <w:rPr>
          <w:rFonts w:ascii="Times New Roman" w:hAnsi="Times New Roman" w:cs="Times New Roman"/>
          <w:color w:val="0000FF"/>
          <w:lang w:val="en-US"/>
        </w:rPr>
        <w:t xml:space="preserve">nhiễm vi rút SARS-CoV-2 đủ điều kiện </w:t>
      </w:r>
      <w:r w:rsidR="006B37FE" w:rsidRPr="00BF18CD">
        <w:rPr>
          <w:rFonts w:ascii="Times New Roman" w:hAnsi="Times New Roman" w:cs="Times New Roman"/>
          <w:color w:val="0000FF"/>
          <w:lang w:val="en-US"/>
        </w:rPr>
        <w:t>làm giải mã trình tự gene, phát hiện có 5/6 trường hợp bệnh nhiễm biến chủng  NB.1.8.1</w:t>
      </w:r>
    </w:p>
    <w:p w14:paraId="576FC4EC" w14:textId="4839FA4F" w:rsidR="00B21C57" w:rsidRPr="00BF18CD" w:rsidRDefault="006B37FE" w:rsidP="006B37FE">
      <w:pPr>
        <w:spacing w:after="120" w:line="240" w:lineRule="auto"/>
        <w:ind w:firstLine="567"/>
        <w:jc w:val="both"/>
        <w:rPr>
          <w:rFonts w:ascii="Times New Roman" w:hAnsi="Times New Roman" w:cs="Times New Roman"/>
          <w:i/>
          <w:iCs/>
          <w:color w:val="0000FF"/>
          <w:lang w:val="en-US"/>
        </w:rPr>
      </w:pPr>
      <w:r w:rsidRPr="00BF18CD">
        <w:rPr>
          <w:rFonts w:ascii="Times New Roman" w:hAnsi="Times New Roman" w:cs="Times New Roman"/>
          <w:color w:val="0000FF"/>
          <w:lang w:val="en-US"/>
        </w:rPr>
        <w:t>Để xác định và đánh giá đúng tình hình dịch bệnh, Viện Pasteur TPHCM đăng tải bản dịch về “</w:t>
      </w:r>
      <w:r w:rsidR="004F701C" w:rsidRPr="00BF18CD">
        <w:rPr>
          <w:rFonts w:ascii="Times New Roman" w:hAnsi="Times New Roman" w:cs="Times New Roman"/>
          <w:b/>
          <w:bCs/>
          <w:color w:val="0000FF"/>
          <w:lang w:val="en-US"/>
        </w:rPr>
        <w:t xml:space="preserve">Đánh giá </w:t>
      </w:r>
      <w:r w:rsidR="00B21C57" w:rsidRPr="00BF18CD">
        <w:rPr>
          <w:rFonts w:ascii="Times New Roman" w:hAnsi="Times New Roman" w:cs="Times New Roman"/>
          <w:b/>
          <w:bCs/>
          <w:color w:val="0000FF"/>
          <w:lang w:val="en-US"/>
        </w:rPr>
        <w:t>nguy cơ</w:t>
      </w:r>
      <w:r w:rsidR="004F701C" w:rsidRPr="00BF18CD">
        <w:rPr>
          <w:rFonts w:ascii="Times New Roman" w:hAnsi="Times New Roman" w:cs="Times New Roman"/>
          <w:b/>
          <w:bCs/>
          <w:color w:val="0000FF"/>
          <w:lang w:val="en-US"/>
        </w:rPr>
        <w:t xml:space="preserve"> biến thể SARS-CoV-2 đang được giám sát: NB.1.8.1</w:t>
      </w:r>
      <w:r w:rsidR="00295A90">
        <w:rPr>
          <w:rFonts w:ascii="Times New Roman" w:hAnsi="Times New Roman" w:cs="Times New Roman"/>
          <w:b/>
          <w:bCs/>
          <w:color w:val="0000FF"/>
          <w:lang w:val="en-US"/>
        </w:rPr>
        <w:t>”</w:t>
      </w:r>
      <w:r w:rsidRPr="00BF18CD">
        <w:rPr>
          <w:rFonts w:ascii="Times New Roman" w:hAnsi="Times New Roman" w:cs="Times New Roman"/>
          <w:b/>
          <w:bCs/>
          <w:color w:val="0000FF"/>
          <w:lang w:val="en-US"/>
        </w:rPr>
        <w:t xml:space="preserve"> </w:t>
      </w:r>
      <w:r w:rsidRPr="00BF18CD">
        <w:rPr>
          <w:rFonts w:ascii="Times New Roman" w:hAnsi="Times New Roman" w:cs="Times New Roman"/>
          <w:color w:val="0000FF"/>
          <w:lang w:val="en-US"/>
        </w:rPr>
        <w:t>của Tổ chức Y tế thế giới</w:t>
      </w:r>
      <w:r w:rsidR="004B6E7C">
        <w:rPr>
          <w:rFonts w:ascii="Times New Roman" w:hAnsi="Times New Roman" w:cs="Times New Roman"/>
          <w:color w:val="0000FF"/>
          <w:lang w:val="en-US"/>
        </w:rPr>
        <w:t xml:space="preserve"> (WHO)</w:t>
      </w:r>
      <w:r w:rsidRPr="00BF18CD">
        <w:rPr>
          <w:rFonts w:ascii="Times New Roman" w:hAnsi="Times New Roman" w:cs="Times New Roman"/>
          <w:color w:val="0000FF"/>
          <w:lang w:val="en-US"/>
        </w:rPr>
        <w:t xml:space="preserve"> xuất bản ngày </w:t>
      </w:r>
      <w:r w:rsidR="005E3584" w:rsidRPr="00BF18CD">
        <w:rPr>
          <w:rFonts w:ascii="Times New Roman" w:hAnsi="Times New Roman" w:cs="Times New Roman"/>
          <w:color w:val="0000FF"/>
          <w:lang w:val="en-US"/>
        </w:rPr>
        <w:t>23/5/2025</w:t>
      </w:r>
      <w:r w:rsidR="004B6E7C">
        <w:rPr>
          <w:rFonts w:ascii="Times New Roman" w:hAnsi="Times New Roman" w:cs="Times New Roman"/>
          <w:color w:val="0000FF"/>
          <w:lang w:val="en-US"/>
        </w:rPr>
        <w:t xml:space="preserve"> </w:t>
      </w:r>
      <w:r w:rsidR="004B6E7C" w:rsidRPr="004B6E7C">
        <w:rPr>
          <w:rFonts w:ascii="Times New Roman" w:hAnsi="Times New Roman" w:cs="Times New Roman"/>
          <w:i/>
          <w:iCs/>
          <w:color w:val="0000FF"/>
          <w:lang w:val="en-US"/>
        </w:rPr>
        <w:t>(https://cdn.who.int/media/docs/default-source/documents/epp/tracking-sars-cov-2/23052025_nb.1.8.1_ire.pdf)</w:t>
      </w:r>
    </w:p>
    <w:p w14:paraId="38CC4C29" w14:textId="77777777" w:rsidR="005E3584" w:rsidRPr="00BE0900" w:rsidRDefault="005E3584" w:rsidP="00D1640C">
      <w:pPr>
        <w:spacing w:after="0" w:line="240" w:lineRule="auto"/>
        <w:jc w:val="both"/>
        <w:rPr>
          <w:rFonts w:ascii="Times New Roman" w:hAnsi="Times New Roman" w:cs="Times New Roman"/>
          <w:b/>
          <w:bCs/>
          <w:sz w:val="20"/>
          <w:szCs w:val="20"/>
          <w:lang w:val="en-US"/>
        </w:rPr>
      </w:pPr>
    </w:p>
    <w:p w14:paraId="72840ADD" w14:textId="0BE40CA1" w:rsidR="004F701C" w:rsidRPr="005F03CA" w:rsidRDefault="00B21C57" w:rsidP="00D1640C">
      <w:pPr>
        <w:spacing w:after="0" w:line="240" w:lineRule="auto"/>
        <w:jc w:val="both"/>
        <w:rPr>
          <w:rFonts w:ascii="Times New Roman" w:hAnsi="Times New Roman" w:cs="Times New Roman"/>
          <w:b/>
          <w:bCs/>
          <w:lang w:val="en-US"/>
        </w:rPr>
      </w:pPr>
      <w:r>
        <w:rPr>
          <w:rFonts w:ascii="Times New Roman" w:hAnsi="Times New Roman" w:cs="Times New Roman"/>
          <w:b/>
          <w:bCs/>
          <w:lang w:val="en-US"/>
        </w:rPr>
        <w:t>Tổng quan</w:t>
      </w:r>
    </w:p>
    <w:p w14:paraId="5D7CFC93" w14:textId="7075342D" w:rsidR="004F701C" w:rsidRDefault="004F701C" w:rsidP="001E215F">
      <w:pPr>
        <w:spacing w:after="0" w:line="240" w:lineRule="auto"/>
        <w:ind w:firstLine="567"/>
        <w:jc w:val="both"/>
        <w:rPr>
          <w:rFonts w:ascii="Times New Roman" w:hAnsi="Times New Roman" w:cs="Times New Roman"/>
          <w:lang w:val="en-US"/>
        </w:rPr>
      </w:pPr>
      <w:r w:rsidRPr="005F03CA">
        <w:rPr>
          <w:rFonts w:ascii="Times New Roman" w:hAnsi="Times New Roman" w:cs="Times New Roman"/>
          <w:lang w:val="en-US"/>
        </w:rPr>
        <w:t xml:space="preserve">NB.1.8.1 </w:t>
      </w:r>
      <w:r w:rsidR="0050366B">
        <w:rPr>
          <w:rFonts w:ascii="Times New Roman" w:hAnsi="Times New Roman" w:cs="Times New Roman"/>
          <w:lang w:val="en-US"/>
        </w:rPr>
        <w:t>đã được xác định là</w:t>
      </w:r>
      <w:r w:rsidR="00BE144B" w:rsidRPr="005F03CA">
        <w:rPr>
          <w:rFonts w:ascii="Times New Roman" w:hAnsi="Times New Roman" w:cs="Times New Roman"/>
          <w:lang w:val="en-US"/>
        </w:rPr>
        <w:t xml:space="preserve"> một </w:t>
      </w:r>
      <w:r w:rsidRPr="005F03CA">
        <w:rPr>
          <w:rFonts w:ascii="Times New Roman" w:hAnsi="Times New Roman" w:cs="Times New Roman"/>
          <w:lang w:val="en-US"/>
        </w:rPr>
        <w:t xml:space="preserve">biến thể SARS-CoV-2 đang được </w:t>
      </w:r>
      <w:r w:rsidR="006468B9" w:rsidRPr="005F03CA">
        <w:rPr>
          <w:rFonts w:ascii="Times New Roman" w:hAnsi="Times New Roman" w:cs="Times New Roman"/>
          <w:lang w:val="en-US"/>
        </w:rPr>
        <w:t>giám sát</w:t>
      </w:r>
      <w:r w:rsidRPr="005F03CA">
        <w:rPr>
          <w:rFonts w:ascii="Times New Roman" w:hAnsi="Times New Roman" w:cs="Times New Roman"/>
          <w:lang w:val="en-US"/>
        </w:rPr>
        <w:t xml:space="preserve"> (VUM)</w:t>
      </w:r>
      <w:r w:rsidR="00B21C57">
        <w:rPr>
          <w:rFonts w:ascii="Times New Roman" w:hAnsi="Times New Roman" w:cs="Times New Roman"/>
          <w:lang w:val="en-US"/>
        </w:rPr>
        <w:t xml:space="preserve"> với tỷ lệ lây nhiễm đang gia tăng trên toàn cầu, trong khi LP.8.1 đang có xu hướng giảm. Dựa trên các bằng chứng hiện có, nguy cơ y tế công cộng </w:t>
      </w:r>
      <w:r w:rsidR="0050366B">
        <w:rPr>
          <w:rFonts w:ascii="Times New Roman" w:hAnsi="Times New Roman" w:cs="Times New Roman"/>
          <w:lang w:val="en-US"/>
        </w:rPr>
        <w:t>bổ sung</w:t>
      </w:r>
      <w:r w:rsidR="00B21C57">
        <w:rPr>
          <w:rFonts w:ascii="Times New Roman" w:hAnsi="Times New Roman" w:cs="Times New Roman"/>
          <w:lang w:val="en-US"/>
        </w:rPr>
        <w:t xml:space="preserve"> do NB.1.8.1 đang </w:t>
      </w:r>
      <w:r w:rsidR="0050366B">
        <w:rPr>
          <w:rFonts w:ascii="Times New Roman" w:hAnsi="Times New Roman" w:cs="Times New Roman"/>
          <w:lang w:val="en-US"/>
        </w:rPr>
        <w:t xml:space="preserve">được đánh giá </w:t>
      </w:r>
      <w:r w:rsidR="00B21C57">
        <w:rPr>
          <w:rFonts w:ascii="Times New Roman" w:hAnsi="Times New Roman" w:cs="Times New Roman"/>
          <w:lang w:val="en-US"/>
        </w:rPr>
        <w:t>ở mức thấp</w:t>
      </w:r>
      <w:r w:rsidR="0050366B">
        <w:rPr>
          <w:rFonts w:ascii="Times New Roman" w:hAnsi="Times New Roman" w:cs="Times New Roman"/>
          <w:lang w:val="en-US"/>
        </w:rPr>
        <w:t xml:space="preserve"> trên toàn cầu</w:t>
      </w:r>
      <w:r w:rsidR="00B21C57">
        <w:rPr>
          <w:rFonts w:ascii="Times New Roman" w:hAnsi="Times New Roman" w:cs="Times New Roman"/>
          <w:lang w:val="en-US"/>
        </w:rPr>
        <w:t>.</w:t>
      </w:r>
      <w:r w:rsidR="0003239D" w:rsidRPr="005F03CA">
        <w:rPr>
          <w:rFonts w:ascii="Times New Roman" w:hAnsi="Times New Roman" w:cs="Times New Roman"/>
          <w:lang w:val="en-US"/>
        </w:rPr>
        <w:t xml:space="preserve"> </w:t>
      </w:r>
      <w:r w:rsidR="00B21C57">
        <w:rPr>
          <w:rFonts w:ascii="Times New Roman" w:hAnsi="Times New Roman" w:cs="Times New Roman"/>
          <w:lang w:val="en-US"/>
        </w:rPr>
        <w:t>Hiện tại, c</w:t>
      </w:r>
      <w:r w:rsidR="0003239D" w:rsidRPr="005F03CA">
        <w:rPr>
          <w:rFonts w:ascii="Times New Roman" w:hAnsi="Times New Roman" w:cs="Times New Roman"/>
          <w:lang w:val="en-US"/>
        </w:rPr>
        <w:t>ác loại vắc</w:t>
      </w:r>
      <w:r w:rsidR="00B21C57">
        <w:rPr>
          <w:rFonts w:ascii="Times New Roman" w:hAnsi="Times New Roman" w:cs="Times New Roman"/>
          <w:lang w:val="en-US"/>
        </w:rPr>
        <w:t xml:space="preserve"> </w:t>
      </w:r>
      <w:r w:rsidR="0003239D" w:rsidRPr="005F03CA">
        <w:rPr>
          <w:rFonts w:ascii="Times New Roman" w:hAnsi="Times New Roman" w:cs="Times New Roman"/>
          <w:lang w:val="en-US"/>
        </w:rPr>
        <w:t xml:space="preserve">xin COVID-19 </w:t>
      </w:r>
      <w:r w:rsidR="00B21C57">
        <w:rPr>
          <w:rFonts w:ascii="Times New Roman" w:hAnsi="Times New Roman" w:cs="Times New Roman"/>
          <w:lang w:val="en-US"/>
        </w:rPr>
        <w:t>đã phê duyệt</w:t>
      </w:r>
      <w:r w:rsidR="0003239D" w:rsidRPr="005F03CA">
        <w:rPr>
          <w:rFonts w:ascii="Times New Roman" w:hAnsi="Times New Roman" w:cs="Times New Roman"/>
          <w:lang w:val="en-US"/>
        </w:rPr>
        <w:t xml:space="preserve"> </w:t>
      </w:r>
      <w:r w:rsidR="00B21C57">
        <w:rPr>
          <w:rFonts w:ascii="Times New Roman" w:hAnsi="Times New Roman" w:cs="Times New Roman"/>
          <w:lang w:val="en-US"/>
        </w:rPr>
        <w:t xml:space="preserve">được kỳ vọng </w:t>
      </w:r>
      <w:r w:rsidR="0003239D" w:rsidRPr="005F03CA">
        <w:rPr>
          <w:rFonts w:ascii="Times New Roman" w:hAnsi="Times New Roman" w:cs="Times New Roman"/>
          <w:lang w:val="en-US"/>
        </w:rPr>
        <w:t xml:space="preserve">vẫn </w:t>
      </w:r>
      <w:r w:rsidR="00B21C57">
        <w:rPr>
          <w:rFonts w:ascii="Times New Roman" w:hAnsi="Times New Roman" w:cs="Times New Roman"/>
          <w:lang w:val="en-US"/>
        </w:rPr>
        <w:t xml:space="preserve">duy trì hiệu quả bảo vệ với biến thể này, đặc biệt trong giảm triệu chứng và tình trạng nặng. Mặc dù có sự gia tăng đồng thời về số mắc và số ca nhập viện ở một số quốc gia nơi </w:t>
      </w:r>
      <w:r w:rsidR="00AB33BB" w:rsidRPr="005F03CA">
        <w:rPr>
          <w:rFonts w:ascii="Times New Roman" w:hAnsi="Times New Roman" w:cs="Times New Roman"/>
          <w:lang w:val="en-US"/>
        </w:rPr>
        <w:t>biến thể NB.1.8.1 đang lan rộng,</w:t>
      </w:r>
      <w:r w:rsidR="004E3DC3" w:rsidRPr="005F03CA">
        <w:rPr>
          <w:rFonts w:ascii="Times New Roman" w:hAnsi="Times New Roman" w:cs="Times New Roman"/>
          <w:lang w:val="en-US"/>
        </w:rPr>
        <w:t xml:space="preserve"> </w:t>
      </w:r>
      <w:r w:rsidR="00AB33BB" w:rsidRPr="005F03CA">
        <w:rPr>
          <w:rFonts w:ascii="Times New Roman" w:hAnsi="Times New Roman" w:cs="Times New Roman"/>
          <w:lang w:val="en-US"/>
        </w:rPr>
        <w:t xml:space="preserve">dữ liệu hiện </w:t>
      </w:r>
      <w:r w:rsidR="00DD74B1" w:rsidRPr="005F03CA">
        <w:rPr>
          <w:rFonts w:ascii="Times New Roman" w:hAnsi="Times New Roman" w:cs="Times New Roman"/>
          <w:lang w:val="en-US"/>
        </w:rPr>
        <w:t>tại</w:t>
      </w:r>
      <w:r w:rsidR="00AB33BB" w:rsidRPr="005F03CA">
        <w:rPr>
          <w:rFonts w:ascii="Times New Roman" w:hAnsi="Times New Roman" w:cs="Times New Roman"/>
          <w:lang w:val="en-US"/>
        </w:rPr>
        <w:t xml:space="preserve"> </w:t>
      </w:r>
      <w:r w:rsidR="00B21C57">
        <w:rPr>
          <w:rFonts w:ascii="Times New Roman" w:hAnsi="Times New Roman" w:cs="Times New Roman"/>
          <w:lang w:val="en-US"/>
        </w:rPr>
        <w:t xml:space="preserve">không </w:t>
      </w:r>
      <w:r w:rsidR="00AB33BB" w:rsidRPr="005F03CA">
        <w:rPr>
          <w:rFonts w:ascii="Times New Roman" w:hAnsi="Times New Roman" w:cs="Times New Roman"/>
          <w:lang w:val="en-US"/>
        </w:rPr>
        <w:t>cho thấy</w:t>
      </w:r>
      <w:r w:rsidR="00DD74B1" w:rsidRPr="005F03CA">
        <w:rPr>
          <w:rFonts w:ascii="Times New Roman" w:hAnsi="Times New Roman" w:cs="Times New Roman"/>
          <w:lang w:val="en-US"/>
        </w:rPr>
        <w:t xml:space="preserve"> </w:t>
      </w:r>
      <w:r w:rsidR="00B21C57">
        <w:rPr>
          <w:rFonts w:ascii="Times New Roman" w:hAnsi="Times New Roman" w:cs="Times New Roman"/>
          <w:lang w:val="en-US"/>
        </w:rPr>
        <w:t>biến thể này dẫn đến tình trạng bệnh nặng hơn so với các biến thể khác đang lưu hành</w:t>
      </w:r>
      <w:r w:rsidR="00013FC2" w:rsidRPr="005F03CA">
        <w:rPr>
          <w:rFonts w:ascii="Times New Roman" w:hAnsi="Times New Roman" w:cs="Times New Roman"/>
          <w:lang w:val="en-US"/>
        </w:rPr>
        <w:t>.</w:t>
      </w:r>
    </w:p>
    <w:p w14:paraId="2158798E" w14:textId="77777777" w:rsidR="00B21C57" w:rsidRPr="00DD5758" w:rsidRDefault="00B21C57" w:rsidP="00D1640C">
      <w:pPr>
        <w:spacing w:after="0" w:line="240" w:lineRule="auto"/>
        <w:jc w:val="both"/>
        <w:rPr>
          <w:rFonts w:ascii="Times New Roman" w:hAnsi="Times New Roman" w:cs="Times New Roman"/>
          <w:sz w:val="20"/>
          <w:szCs w:val="20"/>
          <w:lang w:val="en-US"/>
        </w:rPr>
      </w:pPr>
    </w:p>
    <w:p w14:paraId="559A2ED7" w14:textId="3A05AA1C" w:rsidR="00581187" w:rsidRPr="005F03CA" w:rsidRDefault="00581187" w:rsidP="00D1640C">
      <w:pPr>
        <w:spacing w:after="0" w:line="240" w:lineRule="auto"/>
        <w:jc w:val="both"/>
        <w:rPr>
          <w:rFonts w:ascii="Times New Roman" w:hAnsi="Times New Roman" w:cs="Times New Roman"/>
          <w:b/>
          <w:bCs/>
          <w:lang w:val="en-US"/>
        </w:rPr>
      </w:pPr>
      <w:r w:rsidRPr="005F03CA">
        <w:rPr>
          <w:rFonts w:ascii="Times New Roman" w:hAnsi="Times New Roman" w:cs="Times New Roman"/>
          <w:b/>
          <w:bCs/>
          <w:lang w:val="en-US"/>
        </w:rPr>
        <w:t xml:space="preserve">Đánh giá </w:t>
      </w:r>
      <w:r w:rsidR="001E215F">
        <w:rPr>
          <w:rFonts w:ascii="Times New Roman" w:hAnsi="Times New Roman" w:cs="Times New Roman"/>
          <w:b/>
          <w:bCs/>
          <w:lang w:val="en-US"/>
        </w:rPr>
        <w:t>nguy cơ</w:t>
      </w:r>
      <w:r w:rsidRPr="005F03CA">
        <w:rPr>
          <w:rFonts w:ascii="Times New Roman" w:hAnsi="Times New Roman" w:cs="Times New Roman"/>
          <w:b/>
          <w:bCs/>
          <w:lang w:val="en-US"/>
        </w:rPr>
        <w:t xml:space="preserve"> ban đầu của biến thể NB.1.8.1, ngày 23/5/2025</w:t>
      </w:r>
    </w:p>
    <w:p w14:paraId="0A625E0A" w14:textId="7776A8DE" w:rsidR="001E215F" w:rsidRDefault="003734AB" w:rsidP="00A30639">
      <w:pPr>
        <w:spacing w:after="60" w:line="240" w:lineRule="auto"/>
        <w:ind w:firstLine="567"/>
        <w:jc w:val="both"/>
        <w:rPr>
          <w:rFonts w:ascii="Times New Roman" w:hAnsi="Times New Roman" w:cs="Times New Roman"/>
          <w:lang w:val="en-US"/>
        </w:rPr>
      </w:pPr>
      <w:r w:rsidRPr="005F03CA">
        <w:rPr>
          <w:rFonts w:ascii="Times New Roman" w:hAnsi="Times New Roman" w:cs="Times New Roman"/>
        </w:rPr>
        <w:t xml:space="preserve">NB.1.8.1 </w:t>
      </w:r>
      <w:r w:rsidR="001E215F">
        <w:rPr>
          <w:rFonts w:ascii="Times New Roman" w:hAnsi="Times New Roman" w:cs="Times New Roman"/>
          <w:lang w:val="en-US"/>
        </w:rPr>
        <w:t>là một biến thể SARS-CoV-2 có nguồn gốc</w:t>
      </w:r>
      <w:r w:rsidRPr="005F03CA">
        <w:rPr>
          <w:rFonts w:ascii="Times New Roman" w:hAnsi="Times New Roman" w:cs="Times New Roman"/>
        </w:rPr>
        <w:t xml:space="preserve"> từ biến thể tái tổ hợp XDV.1.5.1, với </w:t>
      </w:r>
      <w:r w:rsidR="001E215F">
        <w:rPr>
          <w:rFonts w:ascii="Times New Roman" w:hAnsi="Times New Roman" w:cs="Times New Roman"/>
          <w:lang w:val="en-US"/>
        </w:rPr>
        <w:t>mẫu sớm nhất được thu thập vào ngày 22/01/2025</w:t>
      </w:r>
      <w:r w:rsidRPr="005F03CA">
        <w:rPr>
          <w:rFonts w:ascii="Times New Roman" w:hAnsi="Times New Roman" w:cs="Times New Roman"/>
        </w:rPr>
        <w:t>.</w:t>
      </w:r>
      <w:r w:rsidR="001E215F">
        <w:rPr>
          <w:rFonts w:ascii="Times New Roman" w:hAnsi="Times New Roman" w:cs="Times New Roman"/>
          <w:lang w:val="en-US"/>
        </w:rPr>
        <w:t xml:space="preserve"> Đây là 1 trong 6 biến thể đang được giám sát (VUM</w:t>
      </w:r>
      <w:r w:rsidR="00611D41">
        <w:rPr>
          <w:rFonts w:ascii="Times New Roman" w:hAnsi="Times New Roman" w:cs="Times New Roman"/>
          <w:lang w:val="en-US"/>
        </w:rPr>
        <w:t>s</w:t>
      </w:r>
      <w:r w:rsidR="001E215F">
        <w:rPr>
          <w:rFonts w:ascii="Times New Roman" w:hAnsi="Times New Roman" w:cs="Times New Roman"/>
          <w:lang w:val="en-US"/>
        </w:rPr>
        <w:t>) mà Tổ chức y tế thế giới (WHO) đang theo dõi và được xác định là VUM vào 23/05/2025.</w:t>
      </w:r>
    </w:p>
    <w:p w14:paraId="3958D10D" w14:textId="0340DBB2" w:rsidR="001E215F" w:rsidRDefault="001E215F" w:rsidP="00A30639">
      <w:pPr>
        <w:spacing w:after="60" w:line="240" w:lineRule="auto"/>
        <w:ind w:firstLine="567"/>
        <w:jc w:val="both"/>
        <w:rPr>
          <w:rFonts w:ascii="Times New Roman" w:hAnsi="Times New Roman" w:cs="Times New Roman"/>
          <w:lang w:val="en-US"/>
        </w:rPr>
      </w:pPr>
      <w:r>
        <w:rPr>
          <w:rFonts w:ascii="Times New Roman" w:hAnsi="Times New Roman" w:cs="Times New Roman"/>
          <w:lang w:val="en-US"/>
        </w:rPr>
        <w:t xml:space="preserve">So với biến thể SARS-CoV-2 đang chiếm ưu thế hiện nay là LP.8.1, NP.1.8.1 có thêm có đột biến ở protein gai gồm </w:t>
      </w:r>
      <w:r w:rsidRPr="001E215F">
        <w:rPr>
          <w:rFonts w:ascii="Times New Roman" w:hAnsi="Times New Roman" w:cs="Times New Roman"/>
          <w:lang w:val="en-US"/>
        </w:rPr>
        <w:t>T22N, F59S, G184S, A435S, V445H và T478I</w:t>
      </w:r>
      <w:r>
        <w:rPr>
          <w:rFonts w:ascii="Times New Roman" w:hAnsi="Times New Roman" w:cs="Times New Roman"/>
          <w:lang w:val="en-US"/>
        </w:rPr>
        <w:t xml:space="preserve">. </w:t>
      </w:r>
      <w:r w:rsidR="00611D41">
        <w:rPr>
          <w:rFonts w:ascii="Times New Roman" w:hAnsi="Times New Roman" w:cs="Times New Roman"/>
          <w:lang w:val="en-US"/>
        </w:rPr>
        <w:t>Khi s</w:t>
      </w:r>
      <w:r>
        <w:rPr>
          <w:rFonts w:ascii="Times New Roman" w:hAnsi="Times New Roman" w:cs="Times New Roman"/>
          <w:lang w:val="en-US"/>
        </w:rPr>
        <w:t xml:space="preserve">o sánh với JN.1, NB.1.8.1 có thêm các đột biến gồm </w:t>
      </w:r>
      <w:r w:rsidRPr="005F03CA">
        <w:rPr>
          <w:rFonts w:ascii="Times New Roman" w:hAnsi="Times New Roman" w:cs="Times New Roman"/>
        </w:rPr>
        <w:t>L455S, F456L và Q493E</w:t>
      </w:r>
      <w:r>
        <w:rPr>
          <w:rFonts w:ascii="Times New Roman" w:hAnsi="Times New Roman" w:cs="Times New Roman"/>
          <w:lang w:val="en-US"/>
        </w:rPr>
        <w:t xml:space="preserve">. </w:t>
      </w:r>
    </w:p>
    <w:p w14:paraId="6D7ECFB1" w14:textId="77777777" w:rsidR="001E215F" w:rsidRDefault="001E215F" w:rsidP="00A30639">
      <w:pPr>
        <w:spacing w:after="60" w:line="240" w:lineRule="auto"/>
        <w:ind w:firstLine="567"/>
        <w:jc w:val="both"/>
        <w:rPr>
          <w:rFonts w:ascii="Times New Roman" w:hAnsi="Times New Roman" w:cs="Times New Roman"/>
          <w:lang w:val="en-US"/>
        </w:rPr>
      </w:pPr>
      <w:r>
        <w:rPr>
          <w:rFonts w:ascii="Times New Roman" w:hAnsi="Times New Roman" w:cs="Times New Roman"/>
          <w:lang w:val="en-US"/>
        </w:rPr>
        <w:t>Các đột biến trên protein gai tại vị trí 445 đã được chứng minh là làm tăng ái lực liên kết với thụ thể hACE2, điều này có thể làm tăng khả năng lây truyền của biến thể. Các đột biến tại vị trí 435 được cho là giảm khả năng trung hoà của kháng thể loại 1 và loại 1/4, trong khi các đột biến tại vị trí 478 được chứng minh là tăng khả năng trốn thoát miễn dịch của kháng thể loại 1/2.</w:t>
      </w:r>
    </w:p>
    <w:p w14:paraId="35F32E7F" w14:textId="71937083" w:rsidR="001E215F" w:rsidRDefault="001E215F" w:rsidP="00A30639">
      <w:pPr>
        <w:spacing w:after="60" w:line="240" w:lineRule="auto"/>
        <w:ind w:firstLine="567"/>
        <w:jc w:val="both"/>
        <w:rPr>
          <w:rFonts w:ascii="Times New Roman" w:hAnsi="Times New Roman" w:cs="Times New Roman"/>
          <w:lang w:val="en-US"/>
        </w:rPr>
      </w:pPr>
      <w:r>
        <w:rPr>
          <w:rFonts w:ascii="Times New Roman" w:hAnsi="Times New Roman" w:cs="Times New Roman"/>
          <w:lang w:val="en-US"/>
        </w:rPr>
        <w:t xml:space="preserve">Sử </w:t>
      </w:r>
      <w:r w:rsidR="00D41C87">
        <w:rPr>
          <w:rFonts w:ascii="Times New Roman" w:hAnsi="Times New Roman" w:cs="Times New Roman"/>
          <w:lang w:val="en-US"/>
        </w:rPr>
        <w:t>dụng</w:t>
      </w:r>
      <w:r>
        <w:rPr>
          <w:rFonts w:ascii="Times New Roman" w:hAnsi="Times New Roman" w:cs="Times New Roman"/>
          <w:lang w:val="en-US"/>
        </w:rPr>
        <w:t xml:space="preserve"> </w:t>
      </w:r>
      <w:r w:rsidR="00D41C87" w:rsidRPr="00D41C87">
        <w:rPr>
          <w:rFonts w:ascii="Times New Roman" w:hAnsi="Times New Roman" w:cs="Times New Roman"/>
          <w:lang w:val="en-US"/>
        </w:rPr>
        <w:t>pseudovirus</w:t>
      </w:r>
      <w:r w:rsidR="00D41C87">
        <w:rPr>
          <w:rFonts w:ascii="Times New Roman" w:hAnsi="Times New Roman" w:cs="Times New Roman"/>
          <w:lang w:val="en-US"/>
        </w:rPr>
        <w:t xml:space="preserve"> (giả vi rút) và huyết t</w:t>
      </w:r>
      <w:r w:rsidR="00DB388A">
        <w:rPr>
          <w:rFonts w:ascii="Times New Roman" w:hAnsi="Times New Roman" w:cs="Times New Roman"/>
          <w:lang w:val="en-US"/>
        </w:rPr>
        <w:t>ương</w:t>
      </w:r>
      <w:r w:rsidR="00D41C87">
        <w:rPr>
          <w:rFonts w:ascii="Times New Roman" w:hAnsi="Times New Roman" w:cs="Times New Roman"/>
          <w:lang w:val="en-US"/>
        </w:rPr>
        <w:t xml:space="preserve"> từ những trường hợp nhiễm biến thể BA.5 đã tiêm ngừa những vẫn bị nhiễm lại với JN.1 hoặc XDV+F456L (nhiễm đột phá), NB.1.8.1 cho thấy khả năng trung hoà giảm 1,5-1,6 lần so với LP.1.8.1. Ở những con chuột đã có miễn dịch trước đó với các biến thể SARS-CoV-2, việc tiếp tục tiêm vắc xin mRNA đơn giá KP.2 hoặc </w:t>
      </w:r>
      <w:r w:rsidR="00611D41">
        <w:rPr>
          <w:rFonts w:ascii="Times New Roman" w:hAnsi="Times New Roman" w:cs="Times New Roman"/>
          <w:lang w:val="en-US"/>
        </w:rPr>
        <w:t xml:space="preserve">đơn giá </w:t>
      </w:r>
      <w:r w:rsidR="00D41C87">
        <w:rPr>
          <w:rFonts w:ascii="Times New Roman" w:hAnsi="Times New Roman" w:cs="Times New Roman"/>
          <w:lang w:val="en-US"/>
        </w:rPr>
        <w:t>LP.8.1 đã tạo ra kháng thể trung hoà chống lại NP.1.8.1 tương đương hoặc thấp hơn một chút so với kháng thể được tạo ra khi tiêm bằng kháng nguyên KP.2 hoặc LP.8.1.</w:t>
      </w:r>
    </w:p>
    <w:p w14:paraId="04A52D67" w14:textId="2C1AB635" w:rsidR="00D41C87" w:rsidRDefault="00D41C87" w:rsidP="00A30639">
      <w:pPr>
        <w:spacing w:after="60" w:line="240" w:lineRule="auto"/>
        <w:ind w:firstLine="567"/>
        <w:jc w:val="both"/>
        <w:rPr>
          <w:rFonts w:ascii="Times New Roman" w:hAnsi="Times New Roman" w:cs="Times New Roman"/>
          <w:lang w:val="en-US"/>
        </w:rPr>
      </w:pPr>
      <w:r>
        <w:rPr>
          <w:rFonts w:ascii="Times New Roman" w:hAnsi="Times New Roman" w:cs="Times New Roman"/>
          <w:lang w:val="en-US"/>
        </w:rPr>
        <w:t xml:space="preserve">Tính đến ngày 18/05/2025, đã có 518 trình tự gen của NB.1.8.1 được gửi tới GISAID từ 22 quốc gia, chiếm 10,7% tổng số trình tự </w:t>
      </w:r>
      <w:r w:rsidR="006303FF">
        <w:rPr>
          <w:rFonts w:ascii="Times New Roman" w:hAnsi="Times New Roman" w:cs="Times New Roman"/>
          <w:lang w:val="en-US"/>
        </w:rPr>
        <w:t xml:space="preserve">sẵn có trên toàn cầu trong tuần dịch tễ 17/2025 (từ 21-27/04/2025). </w:t>
      </w:r>
      <w:r w:rsidR="00611D41">
        <w:rPr>
          <w:rFonts w:ascii="Times New Roman" w:hAnsi="Times New Roman" w:cs="Times New Roman"/>
          <w:lang w:val="en-US"/>
        </w:rPr>
        <w:t>Tuy</w:t>
      </w:r>
      <w:r w:rsidR="006303FF">
        <w:rPr>
          <w:rFonts w:ascii="Times New Roman" w:hAnsi="Times New Roman" w:cs="Times New Roman"/>
          <w:lang w:val="en-US"/>
        </w:rPr>
        <w:t xml:space="preserve"> con số này còn thấp, đây là sự gia tăng đáng kể về tỷ lệ lưu hành so với mức 2,5% </w:t>
      </w:r>
      <w:r w:rsidR="00611D41">
        <w:rPr>
          <w:rFonts w:ascii="Times New Roman" w:hAnsi="Times New Roman" w:cs="Times New Roman"/>
          <w:lang w:val="en-US"/>
        </w:rPr>
        <w:t xml:space="preserve">vào </w:t>
      </w:r>
      <w:r w:rsidR="006303FF">
        <w:rPr>
          <w:rFonts w:ascii="Times New Roman" w:hAnsi="Times New Roman" w:cs="Times New Roman"/>
          <w:lang w:val="en-US"/>
        </w:rPr>
        <w:t>4 tuần trước đó, cụ thể là tuần 14/2025 (từ 31/03-06/04/2025).</w:t>
      </w:r>
    </w:p>
    <w:p w14:paraId="5434F58B" w14:textId="69D0CE37" w:rsidR="006303FF" w:rsidRDefault="006303FF" w:rsidP="001E215F">
      <w:pPr>
        <w:spacing w:after="0" w:line="240" w:lineRule="auto"/>
        <w:ind w:firstLine="567"/>
        <w:jc w:val="both"/>
        <w:rPr>
          <w:rFonts w:ascii="Times New Roman" w:hAnsi="Times New Roman" w:cs="Times New Roman"/>
          <w:lang w:val="en-US"/>
        </w:rPr>
      </w:pPr>
      <w:r>
        <w:rPr>
          <w:rFonts w:ascii="Times New Roman" w:hAnsi="Times New Roman" w:cs="Times New Roman"/>
          <w:lang w:val="en-US"/>
        </w:rPr>
        <w:lastRenderedPageBreak/>
        <w:t>Từ tuần 14-17/2025, NB.1.8.1 đã tăng tỷ lệ lưu hành ở cả 3 khu vực thường xuyên chia sẻ trình tự SARS-CoV-2 của WHO, gồm:</w:t>
      </w:r>
    </w:p>
    <w:p w14:paraId="05695EE2" w14:textId="635DB631" w:rsidR="006303FF" w:rsidRDefault="006303FF" w:rsidP="006303FF">
      <w:pPr>
        <w:pStyle w:val="ListParagraph"/>
        <w:numPr>
          <w:ilvl w:val="0"/>
          <w:numId w:val="3"/>
        </w:numPr>
        <w:spacing w:after="0" w:line="240" w:lineRule="auto"/>
        <w:jc w:val="both"/>
        <w:rPr>
          <w:rFonts w:ascii="Times New Roman" w:hAnsi="Times New Roman" w:cs="Times New Roman"/>
          <w:lang w:val="en-US"/>
        </w:rPr>
      </w:pPr>
      <w:r>
        <w:rPr>
          <w:rFonts w:ascii="Times New Roman" w:hAnsi="Times New Roman" w:cs="Times New Roman"/>
          <w:lang w:val="en-US"/>
        </w:rPr>
        <w:t>Khu vực Tây Thái Bình Dương (WPR): tăng từ 8,9% lên 11,7%.</w:t>
      </w:r>
    </w:p>
    <w:p w14:paraId="7B9773C6" w14:textId="67A0137D" w:rsidR="006303FF" w:rsidRDefault="006303FF" w:rsidP="006303FF">
      <w:pPr>
        <w:pStyle w:val="ListParagraph"/>
        <w:numPr>
          <w:ilvl w:val="0"/>
          <w:numId w:val="3"/>
        </w:numPr>
        <w:spacing w:after="0" w:line="240" w:lineRule="auto"/>
        <w:jc w:val="both"/>
        <w:rPr>
          <w:rFonts w:ascii="Times New Roman" w:hAnsi="Times New Roman" w:cs="Times New Roman"/>
          <w:lang w:val="en-US"/>
        </w:rPr>
      </w:pPr>
      <w:r>
        <w:rPr>
          <w:rFonts w:ascii="Times New Roman" w:hAnsi="Times New Roman" w:cs="Times New Roman"/>
          <w:lang w:val="en-US"/>
        </w:rPr>
        <w:t>Khu vực châu Mỹ (AMR): tăng từ 1,6% lên 4,9%.</w:t>
      </w:r>
    </w:p>
    <w:p w14:paraId="6065D243" w14:textId="1A65CB23" w:rsidR="006303FF" w:rsidRDefault="006303FF" w:rsidP="006303FF">
      <w:pPr>
        <w:pStyle w:val="ListParagraph"/>
        <w:numPr>
          <w:ilvl w:val="0"/>
          <w:numId w:val="3"/>
        </w:numPr>
        <w:spacing w:after="0" w:line="240" w:lineRule="auto"/>
        <w:jc w:val="both"/>
        <w:rPr>
          <w:rFonts w:ascii="Times New Roman" w:hAnsi="Times New Roman" w:cs="Times New Roman"/>
          <w:lang w:val="en-US"/>
        </w:rPr>
      </w:pPr>
      <w:r>
        <w:rPr>
          <w:rFonts w:ascii="Times New Roman" w:hAnsi="Times New Roman" w:cs="Times New Roman"/>
          <w:lang w:val="en-US"/>
        </w:rPr>
        <w:t>Khu vực châu Âu (EUR): tăng từ 1,0% lên 6,0%.</w:t>
      </w:r>
    </w:p>
    <w:p w14:paraId="74F0C130" w14:textId="6C76433C" w:rsidR="006303FF" w:rsidRPr="006303FF" w:rsidRDefault="006303FF" w:rsidP="006303FF">
      <w:pPr>
        <w:spacing w:after="0" w:line="240" w:lineRule="auto"/>
        <w:ind w:firstLine="567"/>
        <w:jc w:val="both"/>
        <w:rPr>
          <w:rFonts w:ascii="Times New Roman" w:hAnsi="Times New Roman" w:cs="Times New Roman"/>
          <w:lang w:val="en-US"/>
        </w:rPr>
      </w:pPr>
      <w:r>
        <w:rPr>
          <w:rFonts w:ascii="Times New Roman" w:hAnsi="Times New Roman" w:cs="Times New Roman"/>
          <w:lang w:val="en-US"/>
        </w:rPr>
        <w:t>Hiện chỉ có 5 trình tự từ khu vực Đông - Nam Á (SEAR) và không có trình tự nào từ khu vực châu Phi (AFR) và khu vực Đông Địa Trung Hải (EMR).</w:t>
      </w:r>
    </w:p>
    <w:p w14:paraId="02359D96" w14:textId="1092A441" w:rsidR="001E0AB0" w:rsidRPr="00BF41DE" w:rsidRDefault="001E0AB0" w:rsidP="00D1640C">
      <w:pPr>
        <w:spacing w:after="0" w:line="240" w:lineRule="auto"/>
        <w:rPr>
          <w:rFonts w:ascii="Times New Roman" w:hAnsi="Times New Roman" w:cs="Times New Roman"/>
          <w:sz w:val="14"/>
          <w:szCs w:val="14"/>
          <w:lang w:val="en-US"/>
        </w:rPr>
      </w:pPr>
    </w:p>
    <w:p w14:paraId="24DDC855" w14:textId="1C00524E" w:rsidR="009E0A85" w:rsidRPr="00543902" w:rsidRDefault="009E0A85" w:rsidP="00D1640C">
      <w:pPr>
        <w:pStyle w:val="Caption"/>
        <w:keepNext/>
        <w:spacing w:after="0"/>
        <w:jc w:val="center"/>
        <w:rPr>
          <w:rFonts w:ascii="Times New Roman" w:hAnsi="Times New Roman" w:cs="Times New Roman"/>
          <w:b/>
          <w:bCs/>
          <w:i w:val="0"/>
          <w:iCs w:val="0"/>
          <w:color w:val="000000" w:themeColor="text1"/>
          <w:sz w:val="24"/>
          <w:szCs w:val="24"/>
        </w:rPr>
      </w:pPr>
      <w:r w:rsidRPr="00543902">
        <w:rPr>
          <w:rFonts w:ascii="Times New Roman" w:hAnsi="Times New Roman" w:cs="Times New Roman"/>
          <w:b/>
          <w:bCs/>
          <w:i w:val="0"/>
          <w:iCs w:val="0"/>
          <w:color w:val="000000" w:themeColor="text1"/>
          <w:sz w:val="24"/>
          <w:szCs w:val="24"/>
        </w:rPr>
        <w:t xml:space="preserve">Bảng </w:t>
      </w:r>
      <w:r w:rsidRPr="00543902">
        <w:rPr>
          <w:rFonts w:ascii="Times New Roman" w:hAnsi="Times New Roman" w:cs="Times New Roman"/>
          <w:b/>
          <w:bCs/>
          <w:i w:val="0"/>
          <w:iCs w:val="0"/>
          <w:color w:val="000000" w:themeColor="text1"/>
          <w:sz w:val="24"/>
          <w:szCs w:val="24"/>
        </w:rPr>
        <w:fldChar w:fldCharType="begin"/>
      </w:r>
      <w:r w:rsidRPr="00543902">
        <w:rPr>
          <w:rFonts w:ascii="Times New Roman" w:hAnsi="Times New Roman" w:cs="Times New Roman"/>
          <w:b/>
          <w:bCs/>
          <w:i w:val="0"/>
          <w:iCs w:val="0"/>
          <w:color w:val="000000" w:themeColor="text1"/>
          <w:sz w:val="24"/>
          <w:szCs w:val="24"/>
        </w:rPr>
        <w:instrText xml:space="preserve"> SEQ Bảng \* ARABIC </w:instrText>
      </w:r>
      <w:r w:rsidRPr="00543902">
        <w:rPr>
          <w:rFonts w:ascii="Times New Roman" w:hAnsi="Times New Roman" w:cs="Times New Roman"/>
          <w:b/>
          <w:bCs/>
          <w:i w:val="0"/>
          <w:iCs w:val="0"/>
          <w:color w:val="000000" w:themeColor="text1"/>
          <w:sz w:val="24"/>
          <w:szCs w:val="24"/>
        </w:rPr>
        <w:fldChar w:fldCharType="separate"/>
      </w:r>
      <w:r w:rsidRPr="00543902">
        <w:rPr>
          <w:rFonts w:ascii="Times New Roman" w:hAnsi="Times New Roman" w:cs="Times New Roman"/>
          <w:b/>
          <w:bCs/>
          <w:i w:val="0"/>
          <w:iCs w:val="0"/>
          <w:noProof/>
          <w:color w:val="000000" w:themeColor="text1"/>
          <w:sz w:val="24"/>
          <w:szCs w:val="24"/>
        </w:rPr>
        <w:t>1</w:t>
      </w:r>
      <w:r w:rsidRPr="00543902">
        <w:rPr>
          <w:rFonts w:ascii="Times New Roman" w:hAnsi="Times New Roman" w:cs="Times New Roman"/>
          <w:b/>
          <w:bCs/>
          <w:i w:val="0"/>
          <w:iCs w:val="0"/>
          <w:color w:val="000000" w:themeColor="text1"/>
          <w:sz w:val="24"/>
          <w:szCs w:val="24"/>
        </w:rPr>
        <w:fldChar w:fldCharType="end"/>
      </w:r>
      <w:r w:rsidR="00543902">
        <w:rPr>
          <w:rFonts w:ascii="Times New Roman" w:hAnsi="Times New Roman" w:cs="Times New Roman"/>
          <w:b/>
          <w:bCs/>
          <w:i w:val="0"/>
          <w:iCs w:val="0"/>
          <w:color w:val="000000" w:themeColor="text1"/>
          <w:sz w:val="24"/>
          <w:szCs w:val="24"/>
          <w:lang w:val="en-US"/>
        </w:rPr>
        <w:t>.</w:t>
      </w:r>
      <w:r w:rsidRPr="00543902">
        <w:rPr>
          <w:rFonts w:ascii="Times New Roman" w:hAnsi="Times New Roman" w:cs="Times New Roman"/>
          <w:b/>
          <w:bCs/>
          <w:i w:val="0"/>
          <w:iCs w:val="0"/>
          <w:color w:val="000000" w:themeColor="text1"/>
          <w:sz w:val="24"/>
          <w:szCs w:val="24"/>
        </w:rPr>
        <w:t xml:space="preserve"> Tỷ lệ của các biến thể SARS-CoV-2 trên toàn cầu từ tuần 14 </w:t>
      </w:r>
      <w:r w:rsidR="00543902" w:rsidRPr="00543902">
        <w:rPr>
          <w:rFonts w:ascii="Times New Roman" w:hAnsi="Times New Roman" w:cs="Times New Roman"/>
          <w:b/>
          <w:bCs/>
          <w:i w:val="0"/>
          <w:iCs w:val="0"/>
          <w:color w:val="000000" w:themeColor="text1"/>
          <w:sz w:val="24"/>
          <w:szCs w:val="24"/>
          <w:lang w:val="en-US"/>
        </w:rPr>
        <w:t xml:space="preserve">– </w:t>
      </w:r>
      <w:r w:rsidRPr="00543902">
        <w:rPr>
          <w:rFonts w:ascii="Times New Roman" w:hAnsi="Times New Roman" w:cs="Times New Roman"/>
          <w:b/>
          <w:bCs/>
          <w:i w:val="0"/>
          <w:iCs w:val="0"/>
          <w:color w:val="000000" w:themeColor="text1"/>
          <w:sz w:val="24"/>
          <w:szCs w:val="24"/>
        </w:rPr>
        <w:t>17</w:t>
      </w:r>
      <w:r w:rsidR="00543902" w:rsidRPr="00543902">
        <w:rPr>
          <w:rFonts w:ascii="Times New Roman" w:hAnsi="Times New Roman" w:cs="Times New Roman"/>
          <w:b/>
          <w:bCs/>
          <w:i w:val="0"/>
          <w:iCs w:val="0"/>
          <w:color w:val="000000" w:themeColor="text1"/>
          <w:sz w:val="24"/>
          <w:szCs w:val="24"/>
          <w:lang w:val="en-US"/>
        </w:rPr>
        <w:t>/</w:t>
      </w:r>
      <w:r w:rsidRPr="00543902">
        <w:rPr>
          <w:rFonts w:ascii="Times New Roman" w:hAnsi="Times New Roman" w:cs="Times New Roman"/>
          <w:b/>
          <w:bCs/>
          <w:i w:val="0"/>
          <w:iCs w:val="0"/>
          <w:color w:val="000000" w:themeColor="text1"/>
          <w:sz w:val="24"/>
          <w:szCs w:val="24"/>
        </w:rPr>
        <w:t>2025</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613105" w:rsidRPr="005F03CA" w14:paraId="5DA5E48B" w14:textId="77777777" w:rsidTr="009E0A85">
        <w:tc>
          <w:tcPr>
            <w:tcW w:w="1335" w:type="dxa"/>
            <w:shd w:val="clear" w:color="auto" w:fill="4472C4" w:themeFill="accent1"/>
            <w:vAlign w:val="center"/>
          </w:tcPr>
          <w:p w14:paraId="756FEB58" w14:textId="701E3FF2" w:rsidR="00613105" w:rsidRPr="005F03CA" w:rsidRDefault="00613105" w:rsidP="00D1640C">
            <w:pPr>
              <w:jc w:val="center"/>
              <w:rPr>
                <w:rFonts w:ascii="Times New Roman" w:hAnsi="Times New Roman" w:cs="Times New Roman"/>
                <w:b/>
                <w:bCs/>
                <w:color w:val="FFFFFF" w:themeColor="background1"/>
                <w:lang w:val="en-US"/>
              </w:rPr>
            </w:pPr>
            <w:r w:rsidRPr="005F03CA">
              <w:rPr>
                <w:rFonts w:ascii="Times New Roman" w:hAnsi="Times New Roman" w:cs="Times New Roman"/>
                <w:b/>
                <w:bCs/>
                <w:color w:val="FFFFFF" w:themeColor="background1"/>
                <w:lang w:val="en-US"/>
              </w:rPr>
              <w:t>Dòng</w:t>
            </w:r>
          </w:p>
        </w:tc>
        <w:tc>
          <w:tcPr>
            <w:tcW w:w="1335" w:type="dxa"/>
            <w:shd w:val="clear" w:color="auto" w:fill="4472C4" w:themeFill="accent1"/>
            <w:vAlign w:val="center"/>
          </w:tcPr>
          <w:p w14:paraId="61A47EAF" w14:textId="37D5E329" w:rsidR="00613105" w:rsidRPr="005F03CA" w:rsidRDefault="00613105" w:rsidP="00D1640C">
            <w:pPr>
              <w:jc w:val="center"/>
              <w:rPr>
                <w:rFonts w:ascii="Times New Roman" w:hAnsi="Times New Roman" w:cs="Times New Roman"/>
                <w:b/>
                <w:bCs/>
                <w:color w:val="FFFFFF" w:themeColor="background1"/>
                <w:lang w:val="en-US"/>
              </w:rPr>
            </w:pPr>
            <w:r w:rsidRPr="005F03CA">
              <w:rPr>
                <w:rFonts w:ascii="Times New Roman" w:hAnsi="Times New Roman" w:cs="Times New Roman"/>
                <w:b/>
                <w:bCs/>
                <w:color w:val="FFFFFF" w:themeColor="background1"/>
                <w:lang w:val="en-US"/>
              </w:rPr>
              <w:t>Quốc gia</w:t>
            </w:r>
          </w:p>
        </w:tc>
        <w:tc>
          <w:tcPr>
            <w:tcW w:w="1336" w:type="dxa"/>
            <w:shd w:val="clear" w:color="auto" w:fill="4472C4" w:themeFill="accent1"/>
            <w:vAlign w:val="center"/>
          </w:tcPr>
          <w:p w14:paraId="7E9CF92E" w14:textId="05A97B53" w:rsidR="00613105" w:rsidRPr="005F03CA" w:rsidRDefault="00611D41" w:rsidP="00D1640C">
            <w:pPr>
              <w:jc w:val="center"/>
              <w:rPr>
                <w:rFonts w:ascii="Times New Roman" w:hAnsi="Times New Roman" w:cs="Times New Roman"/>
                <w:b/>
                <w:bCs/>
                <w:color w:val="FFFFFF" w:themeColor="background1"/>
                <w:lang w:val="en-US"/>
              </w:rPr>
            </w:pPr>
            <w:r>
              <w:rPr>
                <w:rFonts w:ascii="Times New Roman" w:hAnsi="Times New Roman" w:cs="Times New Roman"/>
                <w:b/>
                <w:bCs/>
                <w:color w:val="FFFFFF" w:themeColor="background1"/>
                <w:lang w:val="en-US"/>
              </w:rPr>
              <w:t>Số t</w:t>
            </w:r>
            <w:r w:rsidR="00613105" w:rsidRPr="005F03CA">
              <w:rPr>
                <w:rFonts w:ascii="Times New Roman" w:hAnsi="Times New Roman" w:cs="Times New Roman"/>
                <w:b/>
                <w:bCs/>
                <w:color w:val="FFFFFF" w:themeColor="background1"/>
                <w:lang w:val="en-US"/>
              </w:rPr>
              <w:t>rình tự</w:t>
            </w:r>
          </w:p>
        </w:tc>
        <w:tc>
          <w:tcPr>
            <w:tcW w:w="1336" w:type="dxa"/>
            <w:shd w:val="clear" w:color="auto" w:fill="4472C4" w:themeFill="accent1"/>
            <w:vAlign w:val="center"/>
          </w:tcPr>
          <w:p w14:paraId="1AA755E7" w14:textId="67B0C887" w:rsidR="00613105" w:rsidRPr="005F03CA" w:rsidRDefault="00543902" w:rsidP="00D1640C">
            <w:pPr>
              <w:jc w:val="center"/>
              <w:rPr>
                <w:rFonts w:ascii="Times New Roman" w:hAnsi="Times New Roman" w:cs="Times New Roman"/>
                <w:b/>
                <w:bCs/>
                <w:color w:val="FFFFFF" w:themeColor="background1"/>
                <w:lang w:val="en-US"/>
              </w:rPr>
            </w:pPr>
            <w:r>
              <w:rPr>
                <w:rFonts w:ascii="Times New Roman" w:hAnsi="Times New Roman" w:cs="Times New Roman"/>
                <w:b/>
                <w:bCs/>
                <w:color w:val="FFFFFF" w:themeColor="background1"/>
                <w:lang w:val="en-US"/>
              </w:rPr>
              <w:t>Tuần 14</w:t>
            </w:r>
          </w:p>
          <w:p w14:paraId="67105258" w14:textId="41D32CC1" w:rsidR="00FE28B7" w:rsidRPr="005F03CA" w:rsidRDefault="00FE28B7" w:rsidP="00D1640C">
            <w:pPr>
              <w:jc w:val="center"/>
              <w:rPr>
                <w:rFonts w:ascii="Times New Roman" w:hAnsi="Times New Roman" w:cs="Times New Roman"/>
                <w:b/>
                <w:bCs/>
                <w:color w:val="FFFFFF" w:themeColor="background1"/>
                <w:lang w:val="en-US"/>
              </w:rPr>
            </w:pPr>
            <w:r w:rsidRPr="005F03CA">
              <w:rPr>
                <w:rFonts w:ascii="Times New Roman" w:hAnsi="Times New Roman" w:cs="Times New Roman"/>
                <w:b/>
                <w:bCs/>
                <w:color w:val="FFFFFF" w:themeColor="background1"/>
                <w:lang w:val="en-US"/>
              </w:rPr>
              <w:t>(%)</w:t>
            </w:r>
          </w:p>
        </w:tc>
        <w:tc>
          <w:tcPr>
            <w:tcW w:w="1336" w:type="dxa"/>
            <w:shd w:val="clear" w:color="auto" w:fill="4472C4" w:themeFill="accent1"/>
            <w:vAlign w:val="center"/>
          </w:tcPr>
          <w:p w14:paraId="32FB3035" w14:textId="794948A2" w:rsidR="00613105" w:rsidRPr="005F03CA" w:rsidRDefault="00543902" w:rsidP="00D1640C">
            <w:pPr>
              <w:jc w:val="center"/>
              <w:rPr>
                <w:rFonts w:ascii="Times New Roman" w:hAnsi="Times New Roman" w:cs="Times New Roman"/>
                <w:b/>
                <w:bCs/>
                <w:color w:val="FFFFFF" w:themeColor="background1"/>
                <w:lang w:val="en-US"/>
              </w:rPr>
            </w:pPr>
            <w:r>
              <w:rPr>
                <w:rFonts w:ascii="Times New Roman" w:hAnsi="Times New Roman" w:cs="Times New Roman"/>
                <w:b/>
                <w:bCs/>
                <w:color w:val="FFFFFF" w:themeColor="background1"/>
                <w:lang w:val="en-US"/>
              </w:rPr>
              <w:t xml:space="preserve">Tuần </w:t>
            </w:r>
            <w:r w:rsidR="00E54813" w:rsidRPr="005F03CA">
              <w:rPr>
                <w:rFonts w:ascii="Times New Roman" w:hAnsi="Times New Roman" w:cs="Times New Roman"/>
                <w:b/>
                <w:bCs/>
                <w:color w:val="FFFFFF" w:themeColor="background1"/>
                <w:lang w:val="en-US"/>
              </w:rPr>
              <w:t>15</w:t>
            </w:r>
          </w:p>
          <w:p w14:paraId="7833E4BD" w14:textId="69754009" w:rsidR="00FE28B7" w:rsidRPr="005F03CA" w:rsidRDefault="00FE28B7" w:rsidP="00D1640C">
            <w:pPr>
              <w:jc w:val="center"/>
              <w:rPr>
                <w:rFonts w:ascii="Times New Roman" w:hAnsi="Times New Roman" w:cs="Times New Roman"/>
                <w:b/>
                <w:bCs/>
                <w:color w:val="FFFFFF" w:themeColor="background1"/>
                <w:lang w:val="en-US"/>
              </w:rPr>
            </w:pPr>
            <w:r w:rsidRPr="005F03CA">
              <w:rPr>
                <w:rFonts w:ascii="Times New Roman" w:hAnsi="Times New Roman" w:cs="Times New Roman"/>
                <w:b/>
                <w:bCs/>
                <w:color w:val="FFFFFF" w:themeColor="background1"/>
                <w:lang w:val="en-US"/>
              </w:rPr>
              <w:t>(%)</w:t>
            </w:r>
          </w:p>
        </w:tc>
        <w:tc>
          <w:tcPr>
            <w:tcW w:w="1336" w:type="dxa"/>
            <w:shd w:val="clear" w:color="auto" w:fill="4472C4" w:themeFill="accent1"/>
            <w:vAlign w:val="center"/>
          </w:tcPr>
          <w:p w14:paraId="2C8FF781" w14:textId="04325104" w:rsidR="00613105" w:rsidRPr="005F03CA" w:rsidRDefault="00543902" w:rsidP="00D1640C">
            <w:pPr>
              <w:jc w:val="center"/>
              <w:rPr>
                <w:rFonts w:ascii="Times New Roman" w:hAnsi="Times New Roman" w:cs="Times New Roman"/>
                <w:b/>
                <w:bCs/>
                <w:color w:val="FFFFFF" w:themeColor="background1"/>
                <w:lang w:val="en-US"/>
              </w:rPr>
            </w:pPr>
            <w:r>
              <w:rPr>
                <w:rFonts w:ascii="Times New Roman" w:hAnsi="Times New Roman" w:cs="Times New Roman"/>
                <w:b/>
                <w:bCs/>
                <w:color w:val="FFFFFF" w:themeColor="background1"/>
                <w:lang w:val="en-US"/>
              </w:rPr>
              <w:t xml:space="preserve">Tuần </w:t>
            </w:r>
            <w:r w:rsidR="00E54813" w:rsidRPr="005F03CA">
              <w:rPr>
                <w:rFonts w:ascii="Times New Roman" w:hAnsi="Times New Roman" w:cs="Times New Roman"/>
                <w:b/>
                <w:bCs/>
                <w:color w:val="FFFFFF" w:themeColor="background1"/>
                <w:lang w:val="en-US"/>
              </w:rPr>
              <w:t>16</w:t>
            </w:r>
          </w:p>
          <w:p w14:paraId="79DB20A4" w14:textId="2A16D074" w:rsidR="00FE28B7" w:rsidRPr="005F03CA" w:rsidRDefault="00FE28B7" w:rsidP="00D1640C">
            <w:pPr>
              <w:jc w:val="center"/>
              <w:rPr>
                <w:rFonts w:ascii="Times New Roman" w:hAnsi="Times New Roman" w:cs="Times New Roman"/>
                <w:b/>
                <w:bCs/>
                <w:color w:val="FFFFFF" w:themeColor="background1"/>
                <w:lang w:val="en-US"/>
              </w:rPr>
            </w:pPr>
            <w:r w:rsidRPr="005F03CA">
              <w:rPr>
                <w:rFonts w:ascii="Times New Roman" w:hAnsi="Times New Roman" w:cs="Times New Roman"/>
                <w:b/>
                <w:bCs/>
                <w:color w:val="FFFFFF" w:themeColor="background1"/>
                <w:lang w:val="en-US"/>
              </w:rPr>
              <w:t>(%)</w:t>
            </w:r>
          </w:p>
        </w:tc>
        <w:tc>
          <w:tcPr>
            <w:tcW w:w="1336" w:type="dxa"/>
            <w:shd w:val="clear" w:color="auto" w:fill="4472C4" w:themeFill="accent1"/>
            <w:vAlign w:val="center"/>
          </w:tcPr>
          <w:p w14:paraId="02F68A0D" w14:textId="71DF4344" w:rsidR="00613105" w:rsidRPr="005F03CA" w:rsidRDefault="00543902" w:rsidP="00D1640C">
            <w:pPr>
              <w:jc w:val="center"/>
              <w:rPr>
                <w:rFonts w:ascii="Times New Roman" w:hAnsi="Times New Roman" w:cs="Times New Roman"/>
                <w:b/>
                <w:bCs/>
                <w:color w:val="FFFFFF" w:themeColor="background1"/>
                <w:lang w:val="en-US"/>
              </w:rPr>
            </w:pPr>
            <w:r>
              <w:rPr>
                <w:rFonts w:ascii="Times New Roman" w:hAnsi="Times New Roman" w:cs="Times New Roman"/>
                <w:b/>
                <w:bCs/>
                <w:color w:val="FFFFFF" w:themeColor="background1"/>
                <w:lang w:val="en-US"/>
              </w:rPr>
              <w:t xml:space="preserve">Tuần </w:t>
            </w:r>
            <w:r w:rsidR="00E54813" w:rsidRPr="005F03CA">
              <w:rPr>
                <w:rFonts w:ascii="Times New Roman" w:hAnsi="Times New Roman" w:cs="Times New Roman"/>
                <w:b/>
                <w:bCs/>
                <w:color w:val="FFFFFF" w:themeColor="background1"/>
                <w:lang w:val="en-US"/>
              </w:rPr>
              <w:t>17</w:t>
            </w:r>
          </w:p>
          <w:p w14:paraId="668028B0" w14:textId="471AD7C9" w:rsidR="00FE28B7" w:rsidRPr="005F03CA" w:rsidRDefault="00FE28B7" w:rsidP="00D1640C">
            <w:pPr>
              <w:jc w:val="center"/>
              <w:rPr>
                <w:rFonts w:ascii="Times New Roman" w:hAnsi="Times New Roman" w:cs="Times New Roman"/>
                <w:b/>
                <w:bCs/>
                <w:color w:val="FFFFFF" w:themeColor="background1"/>
                <w:lang w:val="en-US"/>
              </w:rPr>
            </w:pPr>
            <w:r w:rsidRPr="005F03CA">
              <w:rPr>
                <w:rFonts w:ascii="Times New Roman" w:hAnsi="Times New Roman" w:cs="Times New Roman"/>
                <w:b/>
                <w:bCs/>
                <w:color w:val="FFFFFF" w:themeColor="background1"/>
                <w:lang w:val="en-US"/>
              </w:rPr>
              <w:t>(%)</w:t>
            </w:r>
          </w:p>
        </w:tc>
      </w:tr>
      <w:tr w:rsidR="009E0A85" w:rsidRPr="005F03CA" w14:paraId="4E590CC5" w14:textId="77777777" w:rsidTr="009E0A85">
        <w:tc>
          <w:tcPr>
            <w:tcW w:w="9350" w:type="dxa"/>
            <w:gridSpan w:val="7"/>
            <w:vAlign w:val="center"/>
          </w:tcPr>
          <w:p w14:paraId="7E3EE80C" w14:textId="7632C544" w:rsidR="009E0A85" w:rsidRPr="005F03CA" w:rsidRDefault="009E0A85" w:rsidP="00D1640C">
            <w:pPr>
              <w:rPr>
                <w:rFonts w:ascii="Times New Roman" w:hAnsi="Times New Roman" w:cs="Times New Roman"/>
                <w:b/>
                <w:bCs/>
                <w:lang w:val="en-US"/>
              </w:rPr>
            </w:pPr>
            <w:r w:rsidRPr="005F03CA">
              <w:rPr>
                <w:rFonts w:ascii="Times New Roman" w:hAnsi="Times New Roman" w:cs="Times New Roman"/>
                <w:b/>
                <w:bCs/>
                <w:lang w:val="en-US"/>
              </w:rPr>
              <w:t>Các biến thể quan tâm (VOIs)</w:t>
            </w:r>
          </w:p>
        </w:tc>
      </w:tr>
      <w:tr w:rsidR="00613105" w:rsidRPr="005F03CA" w14:paraId="5F703C2C" w14:textId="77777777" w:rsidTr="00543902">
        <w:tc>
          <w:tcPr>
            <w:tcW w:w="1335" w:type="dxa"/>
            <w:vAlign w:val="center"/>
          </w:tcPr>
          <w:p w14:paraId="494BB782" w14:textId="3CFAF760" w:rsidR="00613105" w:rsidRPr="005F03CA" w:rsidRDefault="00613105" w:rsidP="00D1640C">
            <w:pPr>
              <w:jc w:val="center"/>
              <w:rPr>
                <w:rFonts w:ascii="Times New Roman" w:hAnsi="Times New Roman" w:cs="Times New Roman"/>
                <w:lang w:val="en-US"/>
              </w:rPr>
            </w:pPr>
            <w:r w:rsidRPr="005F03CA">
              <w:rPr>
                <w:rFonts w:ascii="Times New Roman" w:hAnsi="Times New Roman" w:cs="Times New Roman"/>
                <w:lang w:val="en-US"/>
              </w:rPr>
              <w:t>JN.1</w:t>
            </w:r>
          </w:p>
        </w:tc>
        <w:tc>
          <w:tcPr>
            <w:tcW w:w="1335" w:type="dxa"/>
            <w:vAlign w:val="center"/>
          </w:tcPr>
          <w:p w14:paraId="78CBDD2D" w14:textId="746B9C6B" w:rsidR="00613105" w:rsidRPr="005F03CA" w:rsidRDefault="00613105" w:rsidP="00D1640C">
            <w:pPr>
              <w:jc w:val="center"/>
              <w:rPr>
                <w:rFonts w:ascii="Times New Roman" w:hAnsi="Times New Roman" w:cs="Times New Roman"/>
                <w:lang w:val="en-US"/>
              </w:rPr>
            </w:pPr>
            <w:r w:rsidRPr="005F03CA">
              <w:rPr>
                <w:rFonts w:ascii="Times New Roman" w:hAnsi="Times New Roman" w:cs="Times New Roman"/>
                <w:lang w:val="en-US"/>
              </w:rPr>
              <w:t>143</w:t>
            </w:r>
          </w:p>
        </w:tc>
        <w:tc>
          <w:tcPr>
            <w:tcW w:w="1336" w:type="dxa"/>
            <w:vAlign w:val="center"/>
          </w:tcPr>
          <w:p w14:paraId="3FF0F737" w14:textId="3D9CF119" w:rsidR="00613105" w:rsidRPr="005F03CA" w:rsidRDefault="00613105" w:rsidP="00D1640C">
            <w:pPr>
              <w:jc w:val="center"/>
              <w:rPr>
                <w:rFonts w:ascii="Times New Roman" w:hAnsi="Times New Roman" w:cs="Times New Roman"/>
                <w:lang w:val="en-US"/>
              </w:rPr>
            </w:pPr>
            <w:r w:rsidRPr="005F03CA">
              <w:rPr>
                <w:rFonts w:ascii="Times New Roman" w:hAnsi="Times New Roman" w:cs="Times New Roman"/>
                <w:lang w:val="en-US"/>
              </w:rPr>
              <w:t>339</w:t>
            </w:r>
            <w:r w:rsidR="00543902">
              <w:rPr>
                <w:rFonts w:ascii="Times New Roman" w:hAnsi="Times New Roman" w:cs="Times New Roman"/>
                <w:lang w:val="en-US"/>
              </w:rPr>
              <w:t>,</w:t>
            </w:r>
            <w:r w:rsidRPr="005F03CA">
              <w:rPr>
                <w:rFonts w:ascii="Times New Roman" w:hAnsi="Times New Roman" w:cs="Times New Roman"/>
                <w:lang w:val="en-US"/>
              </w:rPr>
              <w:t>570</w:t>
            </w:r>
          </w:p>
        </w:tc>
        <w:tc>
          <w:tcPr>
            <w:tcW w:w="1336" w:type="dxa"/>
            <w:shd w:val="clear" w:color="auto" w:fill="C5E0B3" w:themeFill="accent6" w:themeFillTint="66"/>
            <w:vAlign w:val="center"/>
          </w:tcPr>
          <w:p w14:paraId="1A48DA2A" w14:textId="69A13631" w:rsidR="00613105" w:rsidRPr="005F03CA" w:rsidRDefault="00613105" w:rsidP="00D1640C">
            <w:pPr>
              <w:jc w:val="center"/>
              <w:rPr>
                <w:rFonts w:ascii="Times New Roman" w:hAnsi="Times New Roman" w:cs="Times New Roman"/>
                <w:lang w:val="en-US"/>
              </w:rPr>
            </w:pPr>
            <w:r w:rsidRPr="005F03CA">
              <w:rPr>
                <w:rFonts w:ascii="Times New Roman" w:hAnsi="Times New Roman" w:cs="Times New Roman"/>
                <w:lang w:val="en-US"/>
              </w:rPr>
              <w:t>12.0</w:t>
            </w:r>
          </w:p>
        </w:tc>
        <w:tc>
          <w:tcPr>
            <w:tcW w:w="1336" w:type="dxa"/>
            <w:shd w:val="clear" w:color="auto" w:fill="C5E0B3" w:themeFill="accent6" w:themeFillTint="66"/>
            <w:vAlign w:val="center"/>
          </w:tcPr>
          <w:p w14:paraId="77E64749" w14:textId="60E14D82" w:rsidR="00613105" w:rsidRPr="005F03CA" w:rsidRDefault="00613105" w:rsidP="00D1640C">
            <w:pPr>
              <w:jc w:val="center"/>
              <w:rPr>
                <w:rFonts w:ascii="Times New Roman" w:hAnsi="Times New Roman" w:cs="Times New Roman"/>
                <w:lang w:val="en-US"/>
              </w:rPr>
            </w:pPr>
            <w:r w:rsidRPr="005F03CA">
              <w:rPr>
                <w:rFonts w:ascii="Times New Roman" w:hAnsi="Times New Roman" w:cs="Times New Roman"/>
                <w:lang w:val="en-US"/>
              </w:rPr>
              <w:t>12.1</w:t>
            </w:r>
          </w:p>
        </w:tc>
        <w:tc>
          <w:tcPr>
            <w:tcW w:w="1336" w:type="dxa"/>
            <w:shd w:val="clear" w:color="auto" w:fill="C5E0B3" w:themeFill="accent6" w:themeFillTint="66"/>
            <w:vAlign w:val="center"/>
          </w:tcPr>
          <w:p w14:paraId="5849A70A" w14:textId="627A1140" w:rsidR="00613105" w:rsidRPr="005F03CA" w:rsidRDefault="00613105" w:rsidP="00D1640C">
            <w:pPr>
              <w:jc w:val="center"/>
              <w:rPr>
                <w:rFonts w:ascii="Times New Roman" w:hAnsi="Times New Roman" w:cs="Times New Roman"/>
                <w:lang w:val="en-US"/>
              </w:rPr>
            </w:pPr>
            <w:r w:rsidRPr="005F03CA">
              <w:rPr>
                <w:rFonts w:ascii="Times New Roman" w:hAnsi="Times New Roman" w:cs="Times New Roman"/>
                <w:lang w:val="en-US"/>
              </w:rPr>
              <w:t>11.5</w:t>
            </w:r>
          </w:p>
        </w:tc>
        <w:tc>
          <w:tcPr>
            <w:tcW w:w="1336" w:type="dxa"/>
            <w:shd w:val="clear" w:color="auto" w:fill="C5E0B3" w:themeFill="accent6" w:themeFillTint="66"/>
            <w:vAlign w:val="center"/>
          </w:tcPr>
          <w:p w14:paraId="1C9A1DA6" w14:textId="187EC9BF" w:rsidR="00613105" w:rsidRPr="005F03CA" w:rsidRDefault="00613105" w:rsidP="00D1640C">
            <w:pPr>
              <w:jc w:val="center"/>
              <w:rPr>
                <w:rFonts w:ascii="Times New Roman" w:hAnsi="Times New Roman" w:cs="Times New Roman"/>
                <w:lang w:val="en-US"/>
              </w:rPr>
            </w:pPr>
            <w:r w:rsidRPr="005F03CA">
              <w:rPr>
                <w:rFonts w:ascii="Times New Roman" w:hAnsi="Times New Roman" w:cs="Times New Roman"/>
                <w:lang w:val="en-US"/>
              </w:rPr>
              <w:t>9.7</w:t>
            </w:r>
          </w:p>
        </w:tc>
      </w:tr>
      <w:tr w:rsidR="009E0A85" w:rsidRPr="005F03CA" w14:paraId="2569BB7F" w14:textId="77777777" w:rsidTr="009E0A85">
        <w:tc>
          <w:tcPr>
            <w:tcW w:w="9350" w:type="dxa"/>
            <w:gridSpan w:val="7"/>
            <w:vAlign w:val="center"/>
          </w:tcPr>
          <w:p w14:paraId="0DAC4899" w14:textId="5AC0F5DB" w:rsidR="009E0A85" w:rsidRPr="005F03CA" w:rsidRDefault="009E0A85" w:rsidP="00D1640C">
            <w:pPr>
              <w:rPr>
                <w:rFonts w:ascii="Times New Roman" w:hAnsi="Times New Roman" w:cs="Times New Roman"/>
                <w:b/>
                <w:bCs/>
                <w:lang w:val="en-US"/>
              </w:rPr>
            </w:pPr>
            <w:r w:rsidRPr="005F03CA">
              <w:rPr>
                <w:rFonts w:ascii="Times New Roman" w:hAnsi="Times New Roman" w:cs="Times New Roman"/>
                <w:b/>
                <w:bCs/>
                <w:lang w:val="en-US"/>
              </w:rPr>
              <w:t>Biến thể được giám sát (VUMs)</w:t>
            </w:r>
          </w:p>
        </w:tc>
      </w:tr>
      <w:tr w:rsidR="00613105" w:rsidRPr="005F03CA" w14:paraId="34BF6574" w14:textId="77777777" w:rsidTr="009E0A85">
        <w:tc>
          <w:tcPr>
            <w:tcW w:w="1335" w:type="dxa"/>
            <w:vAlign w:val="center"/>
          </w:tcPr>
          <w:p w14:paraId="644ACD87" w14:textId="258F461F"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KP.3</w:t>
            </w:r>
          </w:p>
        </w:tc>
        <w:tc>
          <w:tcPr>
            <w:tcW w:w="1335" w:type="dxa"/>
            <w:vAlign w:val="center"/>
          </w:tcPr>
          <w:p w14:paraId="24BB9E71" w14:textId="3D86295E"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85</w:t>
            </w:r>
          </w:p>
        </w:tc>
        <w:tc>
          <w:tcPr>
            <w:tcW w:w="1336" w:type="dxa"/>
            <w:vAlign w:val="center"/>
          </w:tcPr>
          <w:p w14:paraId="4CBA2C31" w14:textId="48DA2612"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61</w:t>
            </w:r>
            <w:r w:rsidR="00543902">
              <w:rPr>
                <w:rFonts w:ascii="Times New Roman" w:hAnsi="Times New Roman" w:cs="Times New Roman"/>
                <w:lang w:val="en-US"/>
              </w:rPr>
              <w:t>,</w:t>
            </w:r>
            <w:r w:rsidRPr="005F03CA">
              <w:rPr>
                <w:rFonts w:ascii="Times New Roman" w:hAnsi="Times New Roman" w:cs="Times New Roman"/>
                <w:lang w:val="en-US"/>
              </w:rPr>
              <w:t>526</w:t>
            </w:r>
          </w:p>
        </w:tc>
        <w:tc>
          <w:tcPr>
            <w:tcW w:w="1336" w:type="dxa"/>
            <w:shd w:val="clear" w:color="auto" w:fill="C5E0B3" w:themeFill="accent6" w:themeFillTint="66"/>
            <w:vAlign w:val="center"/>
          </w:tcPr>
          <w:p w14:paraId="1D3E3728" w14:textId="4634508B"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2.7</w:t>
            </w:r>
          </w:p>
        </w:tc>
        <w:tc>
          <w:tcPr>
            <w:tcW w:w="1336" w:type="dxa"/>
            <w:shd w:val="clear" w:color="auto" w:fill="C5E0B3" w:themeFill="accent6" w:themeFillTint="66"/>
            <w:vAlign w:val="center"/>
          </w:tcPr>
          <w:p w14:paraId="76D6CDD3" w14:textId="301B62DC"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2.2</w:t>
            </w:r>
          </w:p>
        </w:tc>
        <w:tc>
          <w:tcPr>
            <w:tcW w:w="1336" w:type="dxa"/>
            <w:shd w:val="clear" w:color="auto" w:fill="C5E0B3" w:themeFill="accent6" w:themeFillTint="66"/>
            <w:vAlign w:val="center"/>
          </w:tcPr>
          <w:p w14:paraId="29A2FEC1" w14:textId="07761344"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0.8</w:t>
            </w:r>
          </w:p>
        </w:tc>
        <w:tc>
          <w:tcPr>
            <w:tcW w:w="1336" w:type="dxa"/>
            <w:shd w:val="clear" w:color="auto" w:fill="C5E0B3" w:themeFill="accent6" w:themeFillTint="66"/>
            <w:vAlign w:val="center"/>
          </w:tcPr>
          <w:p w14:paraId="6D14098D" w14:textId="2E71CD70"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1.5</w:t>
            </w:r>
          </w:p>
        </w:tc>
      </w:tr>
      <w:tr w:rsidR="00613105" w:rsidRPr="005F03CA" w14:paraId="239F6AA1" w14:textId="77777777" w:rsidTr="009E0A85">
        <w:tc>
          <w:tcPr>
            <w:tcW w:w="1335" w:type="dxa"/>
            <w:vAlign w:val="center"/>
          </w:tcPr>
          <w:p w14:paraId="2DA3D6F4" w14:textId="0B072689"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KP.3.1.1</w:t>
            </w:r>
          </w:p>
        </w:tc>
        <w:tc>
          <w:tcPr>
            <w:tcW w:w="1335" w:type="dxa"/>
            <w:vAlign w:val="center"/>
          </w:tcPr>
          <w:p w14:paraId="017A10E2" w14:textId="46F4DAA0"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89</w:t>
            </w:r>
          </w:p>
        </w:tc>
        <w:tc>
          <w:tcPr>
            <w:tcW w:w="1336" w:type="dxa"/>
            <w:vAlign w:val="center"/>
          </w:tcPr>
          <w:p w14:paraId="42E65118" w14:textId="73F36025"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117</w:t>
            </w:r>
            <w:r w:rsidR="00543902">
              <w:rPr>
                <w:rFonts w:ascii="Times New Roman" w:hAnsi="Times New Roman" w:cs="Times New Roman"/>
                <w:lang w:val="en-US"/>
              </w:rPr>
              <w:t>,</w:t>
            </w:r>
            <w:r w:rsidRPr="005F03CA">
              <w:rPr>
                <w:rFonts w:ascii="Times New Roman" w:hAnsi="Times New Roman" w:cs="Times New Roman"/>
                <w:lang w:val="en-US"/>
              </w:rPr>
              <w:t>331</w:t>
            </w:r>
          </w:p>
        </w:tc>
        <w:tc>
          <w:tcPr>
            <w:tcW w:w="1336" w:type="dxa"/>
            <w:shd w:val="clear" w:color="auto" w:fill="C5E0B3" w:themeFill="accent6" w:themeFillTint="66"/>
            <w:vAlign w:val="center"/>
          </w:tcPr>
          <w:p w14:paraId="18C1D8E5" w14:textId="09690BA2"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9.5</w:t>
            </w:r>
          </w:p>
        </w:tc>
        <w:tc>
          <w:tcPr>
            <w:tcW w:w="1336" w:type="dxa"/>
            <w:shd w:val="clear" w:color="auto" w:fill="C5E0B3" w:themeFill="accent6" w:themeFillTint="66"/>
            <w:vAlign w:val="center"/>
          </w:tcPr>
          <w:p w14:paraId="5FAA7998" w14:textId="67351297"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10.8</w:t>
            </w:r>
          </w:p>
        </w:tc>
        <w:tc>
          <w:tcPr>
            <w:tcW w:w="1336" w:type="dxa"/>
            <w:shd w:val="clear" w:color="auto" w:fill="C5E0B3" w:themeFill="accent6" w:themeFillTint="66"/>
            <w:vAlign w:val="center"/>
          </w:tcPr>
          <w:p w14:paraId="2A07A319" w14:textId="53C2D8DD"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10.2</w:t>
            </w:r>
          </w:p>
        </w:tc>
        <w:tc>
          <w:tcPr>
            <w:tcW w:w="1336" w:type="dxa"/>
            <w:shd w:val="clear" w:color="auto" w:fill="C5E0B3" w:themeFill="accent6" w:themeFillTint="66"/>
            <w:vAlign w:val="center"/>
          </w:tcPr>
          <w:p w14:paraId="0208B89F" w14:textId="032651E3"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8.5</w:t>
            </w:r>
          </w:p>
        </w:tc>
      </w:tr>
      <w:tr w:rsidR="00613105" w:rsidRPr="005F03CA" w14:paraId="5DE10279" w14:textId="77777777" w:rsidTr="009E0A85">
        <w:tc>
          <w:tcPr>
            <w:tcW w:w="1335" w:type="dxa"/>
            <w:vAlign w:val="center"/>
          </w:tcPr>
          <w:p w14:paraId="35CA652E" w14:textId="7017541D"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LB.1</w:t>
            </w:r>
          </w:p>
        </w:tc>
        <w:tc>
          <w:tcPr>
            <w:tcW w:w="1335" w:type="dxa"/>
            <w:vAlign w:val="center"/>
          </w:tcPr>
          <w:p w14:paraId="30985327" w14:textId="194D84B9"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99</w:t>
            </w:r>
          </w:p>
        </w:tc>
        <w:tc>
          <w:tcPr>
            <w:tcW w:w="1336" w:type="dxa"/>
            <w:vAlign w:val="center"/>
          </w:tcPr>
          <w:p w14:paraId="5EBAD6E8" w14:textId="5ABC62F3"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25</w:t>
            </w:r>
            <w:r w:rsidR="00543902">
              <w:rPr>
                <w:rFonts w:ascii="Times New Roman" w:hAnsi="Times New Roman" w:cs="Times New Roman"/>
                <w:lang w:val="en-US"/>
              </w:rPr>
              <w:t>,</w:t>
            </w:r>
            <w:r w:rsidRPr="005F03CA">
              <w:rPr>
                <w:rFonts w:ascii="Times New Roman" w:hAnsi="Times New Roman" w:cs="Times New Roman"/>
                <w:lang w:val="en-US"/>
              </w:rPr>
              <w:t>457</w:t>
            </w:r>
          </w:p>
        </w:tc>
        <w:tc>
          <w:tcPr>
            <w:tcW w:w="1336" w:type="dxa"/>
            <w:shd w:val="clear" w:color="auto" w:fill="C5E0B3" w:themeFill="accent6" w:themeFillTint="66"/>
            <w:vAlign w:val="center"/>
          </w:tcPr>
          <w:p w14:paraId="40D37705" w14:textId="3446F6B0"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2.4</w:t>
            </w:r>
          </w:p>
        </w:tc>
        <w:tc>
          <w:tcPr>
            <w:tcW w:w="1336" w:type="dxa"/>
            <w:shd w:val="clear" w:color="auto" w:fill="C5E0B3" w:themeFill="accent6" w:themeFillTint="66"/>
            <w:vAlign w:val="center"/>
          </w:tcPr>
          <w:p w14:paraId="0B89D482" w14:textId="0475631C"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2.5</w:t>
            </w:r>
          </w:p>
        </w:tc>
        <w:tc>
          <w:tcPr>
            <w:tcW w:w="1336" w:type="dxa"/>
            <w:shd w:val="clear" w:color="auto" w:fill="C5E0B3" w:themeFill="accent6" w:themeFillTint="66"/>
            <w:vAlign w:val="center"/>
          </w:tcPr>
          <w:p w14:paraId="41AA42F6" w14:textId="3A22FC17"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1.7</w:t>
            </w:r>
          </w:p>
        </w:tc>
        <w:tc>
          <w:tcPr>
            <w:tcW w:w="1336" w:type="dxa"/>
            <w:shd w:val="clear" w:color="auto" w:fill="C5E0B3" w:themeFill="accent6" w:themeFillTint="66"/>
            <w:vAlign w:val="center"/>
          </w:tcPr>
          <w:p w14:paraId="3BD7B900" w14:textId="2E96E959"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0.9</w:t>
            </w:r>
          </w:p>
        </w:tc>
      </w:tr>
      <w:tr w:rsidR="00613105" w:rsidRPr="005F03CA" w14:paraId="493FCEE3" w14:textId="77777777" w:rsidTr="009E0A85">
        <w:tc>
          <w:tcPr>
            <w:tcW w:w="1335" w:type="dxa"/>
            <w:vAlign w:val="center"/>
          </w:tcPr>
          <w:p w14:paraId="1C28D51E" w14:textId="265D2593"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XEC</w:t>
            </w:r>
          </w:p>
        </w:tc>
        <w:tc>
          <w:tcPr>
            <w:tcW w:w="1335" w:type="dxa"/>
            <w:vAlign w:val="center"/>
          </w:tcPr>
          <w:p w14:paraId="6584AEB9" w14:textId="2C86672A"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73</w:t>
            </w:r>
          </w:p>
        </w:tc>
        <w:tc>
          <w:tcPr>
            <w:tcW w:w="1336" w:type="dxa"/>
            <w:vAlign w:val="center"/>
          </w:tcPr>
          <w:p w14:paraId="2E2FCC58" w14:textId="082CF9B2"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52</w:t>
            </w:r>
            <w:r w:rsidR="00543902">
              <w:rPr>
                <w:rFonts w:ascii="Times New Roman" w:hAnsi="Times New Roman" w:cs="Times New Roman"/>
                <w:lang w:val="en-US"/>
              </w:rPr>
              <w:t>,</w:t>
            </w:r>
            <w:r w:rsidRPr="005F03CA">
              <w:rPr>
                <w:rFonts w:ascii="Times New Roman" w:hAnsi="Times New Roman" w:cs="Times New Roman"/>
                <w:lang w:val="en-US"/>
              </w:rPr>
              <w:t>366</w:t>
            </w:r>
          </w:p>
        </w:tc>
        <w:tc>
          <w:tcPr>
            <w:tcW w:w="1336" w:type="dxa"/>
            <w:shd w:val="clear" w:color="auto" w:fill="C5E0B3" w:themeFill="accent6" w:themeFillTint="66"/>
            <w:vAlign w:val="center"/>
          </w:tcPr>
          <w:p w14:paraId="7ABF1D56" w14:textId="24D9170D"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22.3</w:t>
            </w:r>
          </w:p>
        </w:tc>
        <w:tc>
          <w:tcPr>
            <w:tcW w:w="1336" w:type="dxa"/>
            <w:shd w:val="clear" w:color="auto" w:fill="C5E0B3" w:themeFill="accent6" w:themeFillTint="66"/>
            <w:vAlign w:val="center"/>
          </w:tcPr>
          <w:p w14:paraId="10D5767D" w14:textId="75E507F0"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20.0</w:t>
            </w:r>
          </w:p>
        </w:tc>
        <w:tc>
          <w:tcPr>
            <w:tcW w:w="1336" w:type="dxa"/>
            <w:shd w:val="clear" w:color="auto" w:fill="C5E0B3" w:themeFill="accent6" w:themeFillTint="66"/>
            <w:vAlign w:val="center"/>
          </w:tcPr>
          <w:p w14:paraId="682F51D4" w14:textId="58B6313D"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18.8</w:t>
            </w:r>
          </w:p>
        </w:tc>
        <w:tc>
          <w:tcPr>
            <w:tcW w:w="1336" w:type="dxa"/>
            <w:shd w:val="clear" w:color="auto" w:fill="C5E0B3" w:themeFill="accent6" w:themeFillTint="66"/>
            <w:vAlign w:val="center"/>
          </w:tcPr>
          <w:p w14:paraId="7A632999" w14:textId="555F4B0B"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17.8</w:t>
            </w:r>
          </w:p>
        </w:tc>
      </w:tr>
      <w:tr w:rsidR="00613105" w:rsidRPr="005F03CA" w14:paraId="2E3E6AAE" w14:textId="77777777" w:rsidTr="009E0A85">
        <w:tc>
          <w:tcPr>
            <w:tcW w:w="1335" w:type="dxa"/>
            <w:vAlign w:val="center"/>
          </w:tcPr>
          <w:p w14:paraId="350CBBFA" w14:textId="54C7636A"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LP.8.1</w:t>
            </w:r>
          </w:p>
        </w:tc>
        <w:tc>
          <w:tcPr>
            <w:tcW w:w="1335" w:type="dxa"/>
            <w:vAlign w:val="center"/>
          </w:tcPr>
          <w:p w14:paraId="44943D43" w14:textId="6F2DF5E2"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51</w:t>
            </w:r>
          </w:p>
        </w:tc>
        <w:tc>
          <w:tcPr>
            <w:tcW w:w="1336" w:type="dxa"/>
            <w:vAlign w:val="center"/>
          </w:tcPr>
          <w:p w14:paraId="05FF0C35" w14:textId="4073C6FB"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15</w:t>
            </w:r>
            <w:r w:rsidR="00543902">
              <w:rPr>
                <w:rFonts w:ascii="Times New Roman" w:hAnsi="Times New Roman" w:cs="Times New Roman"/>
                <w:lang w:val="en-US"/>
              </w:rPr>
              <w:t>,</w:t>
            </w:r>
            <w:r w:rsidRPr="005F03CA">
              <w:rPr>
                <w:rFonts w:ascii="Times New Roman" w:hAnsi="Times New Roman" w:cs="Times New Roman"/>
                <w:lang w:val="en-US"/>
              </w:rPr>
              <w:t>993</w:t>
            </w:r>
          </w:p>
        </w:tc>
        <w:tc>
          <w:tcPr>
            <w:tcW w:w="1336" w:type="dxa"/>
            <w:shd w:val="clear" w:color="auto" w:fill="C5E0B3" w:themeFill="accent6" w:themeFillTint="66"/>
            <w:vAlign w:val="center"/>
          </w:tcPr>
          <w:p w14:paraId="24841111" w14:textId="53EE3289"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42.0</w:t>
            </w:r>
          </w:p>
        </w:tc>
        <w:tc>
          <w:tcPr>
            <w:tcW w:w="1336" w:type="dxa"/>
            <w:shd w:val="clear" w:color="auto" w:fill="C5E0B3" w:themeFill="accent6" w:themeFillTint="66"/>
            <w:vAlign w:val="center"/>
          </w:tcPr>
          <w:p w14:paraId="798F7B69" w14:textId="0719101F"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41.4</w:t>
            </w:r>
          </w:p>
        </w:tc>
        <w:tc>
          <w:tcPr>
            <w:tcW w:w="1336" w:type="dxa"/>
            <w:shd w:val="clear" w:color="auto" w:fill="C5E0B3" w:themeFill="accent6" w:themeFillTint="66"/>
            <w:vAlign w:val="center"/>
          </w:tcPr>
          <w:p w14:paraId="107E5ADE" w14:textId="480D266D"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40.9</w:t>
            </w:r>
          </w:p>
        </w:tc>
        <w:tc>
          <w:tcPr>
            <w:tcW w:w="1336" w:type="dxa"/>
            <w:shd w:val="clear" w:color="auto" w:fill="C5E0B3" w:themeFill="accent6" w:themeFillTint="66"/>
            <w:vAlign w:val="center"/>
          </w:tcPr>
          <w:p w14:paraId="5A70A387" w14:textId="53533611"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39.0</w:t>
            </w:r>
          </w:p>
        </w:tc>
      </w:tr>
      <w:tr w:rsidR="00613105" w:rsidRPr="005F03CA" w14:paraId="3C330C63" w14:textId="77777777" w:rsidTr="009E0A85">
        <w:tc>
          <w:tcPr>
            <w:tcW w:w="1335" w:type="dxa"/>
            <w:vAlign w:val="center"/>
          </w:tcPr>
          <w:p w14:paraId="51E3C6BD" w14:textId="162E4B9A"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NB.1.8.1</w:t>
            </w:r>
          </w:p>
        </w:tc>
        <w:tc>
          <w:tcPr>
            <w:tcW w:w="1335" w:type="dxa"/>
            <w:vAlign w:val="center"/>
          </w:tcPr>
          <w:p w14:paraId="2A4C309B" w14:textId="615298B7"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22</w:t>
            </w:r>
          </w:p>
        </w:tc>
        <w:tc>
          <w:tcPr>
            <w:tcW w:w="1336" w:type="dxa"/>
            <w:vAlign w:val="center"/>
          </w:tcPr>
          <w:p w14:paraId="47F16C05" w14:textId="30BD0E8E"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517</w:t>
            </w:r>
          </w:p>
        </w:tc>
        <w:tc>
          <w:tcPr>
            <w:tcW w:w="1336" w:type="dxa"/>
            <w:shd w:val="clear" w:color="auto" w:fill="FFD966" w:themeFill="accent4" w:themeFillTint="99"/>
            <w:vAlign w:val="center"/>
          </w:tcPr>
          <w:p w14:paraId="13C9E11F" w14:textId="70C35BE5"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2.5</w:t>
            </w:r>
          </w:p>
        </w:tc>
        <w:tc>
          <w:tcPr>
            <w:tcW w:w="1336" w:type="dxa"/>
            <w:shd w:val="clear" w:color="auto" w:fill="FFD966" w:themeFill="accent4" w:themeFillTint="99"/>
            <w:vAlign w:val="center"/>
          </w:tcPr>
          <w:p w14:paraId="42CE2BEB" w14:textId="0D64FF4E"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4.1</w:t>
            </w:r>
          </w:p>
        </w:tc>
        <w:tc>
          <w:tcPr>
            <w:tcW w:w="1336" w:type="dxa"/>
            <w:shd w:val="clear" w:color="auto" w:fill="FFD966" w:themeFill="accent4" w:themeFillTint="99"/>
            <w:vAlign w:val="center"/>
          </w:tcPr>
          <w:p w14:paraId="7A779F0C" w14:textId="790073D7"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7.1</w:t>
            </w:r>
          </w:p>
        </w:tc>
        <w:tc>
          <w:tcPr>
            <w:tcW w:w="1336" w:type="dxa"/>
            <w:shd w:val="clear" w:color="auto" w:fill="FFD966" w:themeFill="accent4" w:themeFillTint="99"/>
            <w:vAlign w:val="center"/>
          </w:tcPr>
          <w:p w14:paraId="5A1D96E7" w14:textId="640B3B84" w:rsidR="00613105"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10.7</w:t>
            </w:r>
          </w:p>
        </w:tc>
      </w:tr>
      <w:tr w:rsidR="00E54813" w:rsidRPr="005F03CA" w14:paraId="68BF22DF" w14:textId="77777777" w:rsidTr="009E0A85">
        <w:tc>
          <w:tcPr>
            <w:tcW w:w="1335" w:type="dxa"/>
            <w:vAlign w:val="center"/>
          </w:tcPr>
          <w:p w14:paraId="239E1AAC" w14:textId="01A1F319" w:rsidR="00E54813"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Tái tổ hợp</w:t>
            </w:r>
          </w:p>
        </w:tc>
        <w:tc>
          <w:tcPr>
            <w:tcW w:w="1335" w:type="dxa"/>
            <w:vAlign w:val="center"/>
          </w:tcPr>
          <w:p w14:paraId="0371EEBD" w14:textId="3E807BD0" w:rsidR="00E54813"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144</w:t>
            </w:r>
          </w:p>
        </w:tc>
        <w:tc>
          <w:tcPr>
            <w:tcW w:w="1336" w:type="dxa"/>
            <w:vAlign w:val="center"/>
          </w:tcPr>
          <w:p w14:paraId="44E06941" w14:textId="34A55032" w:rsidR="00E54813"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513</w:t>
            </w:r>
            <w:r w:rsidR="00543902">
              <w:rPr>
                <w:rFonts w:ascii="Times New Roman" w:hAnsi="Times New Roman" w:cs="Times New Roman"/>
                <w:lang w:val="en-US"/>
              </w:rPr>
              <w:t>,</w:t>
            </w:r>
            <w:r w:rsidRPr="005F03CA">
              <w:rPr>
                <w:rFonts w:ascii="Times New Roman" w:hAnsi="Times New Roman" w:cs="Times New Roman"/>
                <w:lang w:val="en-US"/>
              </w:rPr>
              <w:t>365</w:t>
            </w:r>
          </w:p>
        </w:tc>
        <w:tc>
          <w:tcPr>
            <w:tcW w:w="1336" w:type="dxa"/>
            <w:shd w:val="clear" w:color="auto" w:fill="C5E0B3" w:themeFill="accent6" w:themeFillTint="66"/>
            <w:vAlign w:val="center"/>
          </w:tcPr>
          <w:p w14:paraId="7032BCF9" w14:textId="6A49C3EA" w:rsidR="00E54813"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6.6</w:t>
            </w:r>
          </w:p>
        </w:tc>
        <w:tc>
          <w:tcPr>
            <w:tcW w:w="1336" w:type="dxa"/>
            <w:shd w:val="clear" w:color="auto" w:fill="C5E0B3" w:themeFill="accent6" w:themeFillTint="66"/>
            <w:vAlign w:val="center"/>
          </w:tcPr>
          <w:p w14:paraId="65889EE8" w14:textId="152556E6" w:rsidR="00E54813"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6.9</w:t>
            </w:r>
          </w:p>
        </w:tc>
        <w:tc>
          <w:tcPr>
            <w:tcW w:w="1336" w:type="dxa"/>
            <w:shd w:val="clear" w:color="auto" w:fill="C5E0B3" w:themeFill="accent6" w:themeFillTint="66"/>
            <w:vAlign w:val="center"/>
          </w:tcPr>
          <w:p w14:paraId="45450D43" w14:textId="7D230F86" w:rsidR="00E54813"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8.9</w:t>
            </w:r>
          </w:p>
        </w:tc>
        <w:tc>
          <w:tcPr>
            <w:tcW w:w="1336" w:type="dxa"/>
            <w:shd w:val="clear" w:color="auto" w:fill="C5E0B3" w:themeFill="accent6" w:themeFillTint="66"/>
            <w:vAlign w:val="center"/>
          </w:tcPr>
          <w:p w14:paraId="051A9B29" w14:textId="0E0EB97D" w:rsidR="00E54813"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11.8</w:t>
            </w:r>
          </w:p>
        </w:tc>
      </w:tr>
      <w:tr w:rsidR="00E54813" w:rsidRPr="005F03CA" w14:paraId="71B06F8B" w14:textId="77777777" w:rsidTr="009E0A85">
        <w:tc>
          <w:tcPr>
            <w:tcW w:w="1335" w:type="dxa"/>
            <w:vAlign w:val="center"/>
          </w:tcPr>
          <w:p w14:paraId="03A39DDD" w14:textId="5EDB5C8F" w:rsidR="00E54813"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Khác</w:t>
            </w:r>
          </w:p>
        </w:tc>
        <w:tc>
          <w:tcPr>
            <w:tcW w:w="1335" w:type="dxa"/>
            <w:vAlign w:val="center"/>
          </w:tcPr>
          <w:p w14:paraId="36EBE780" w14:textId="22DAE23F" w:rsidR="00E54813"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111</w:t>
            </w:r>
          </w:p>
        </w:tc>
        <w:tc>
          <w:tcPr>
            <w:tcW w:w="1336" w:type="dxa"/>
            <w:vAlign w:val="center"/>
          </w:tcPr>
          <w:p w14:paraId="131CE688" w14:textId="45024CCE" w:rsidR="00E54813"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35</w:t>
            </w:r>
            <w:r w:rsidR="00543902">
              <w:rPr>
                <w:rFonts w:ascii="Times New Roman" w:hAnsi="Times New Roman" w:cs="Times New Roman"/>
                <w:lang w:val="en-US"/>
              </w:rPr>
              <w:t>,</w:t>
            </w:r>
            <w:r w:rsidRPr="005F03CA">
              <w:rPr>
                <w:rFonts w:ascii="Times New Roman" w:hAnsi="Times New Roman" w:cs="Times New Roman"/>
                <w:lang w:val="en-US"/>
              </w:rPr>
              <w:t>263</w:t>
            </w:r>
          </w:p>
        </w:tc>
        <w:tc>
          <w:tcPr>
            <w:tcW w:w="1336" w:type="dxa"/>
            <w:vAlign w:val="center"/>
          </w:tcPr>
          <w:p w14:paraId="56C49864" w14:textId="5D32908A" w:rsidR="00E54813"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0.1</w:t>
            </w:r>
          </w:p>
        </w:tc>
        <w:tc>
          <w:tcPr>
            <w:tcW w:w="1336" w:type="dxa"/>
            <w:vAlign w:val="center"/>
          </w:tcPr>
          <w:p w14:paraId="4F171BE1" w14:textId="57BFAB12" w:rsidR="00E54813"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0.1</w:t>
            </w:r>
          </w:p>
        </w:tc>
        <w:tc>
          <w:tcPr>
            <w:tcW w:w="1336" w:type="dxa"/>
            <w:vAlign w:val="center"/>
          </w:tcPr>
          <w:p w14:paraId="449561A0" w14:textId="6F12C587" w:rsidR="00E54813"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w:t>
            </w:r>
          </w:p>
        </w:tc>
        <w:tc>
          <w:tcPr>
            <w:tcW w:w="1336" w:type="dxa"/>
            <w:vAlign w:val="center"/>
          </w:tcPr>
          <w:p w14:paraId="31CF1DA1" w14:textId="636D9321" w:rsidR="00E54813" w:rsidRPr="005F03CA" w:rsidRDefault="00E54813" w:rsidP="00D1640C">
            <w:pPr>
              <w:jc w:val="center"/>
              <w:rPr>
                <w:rFonts w:ascii="Times New Roman" w:hAnsi="Times New Roman" w:cs="Times New Roman"/>
                <w:lang w:val="en-US"/>
              </w:rPr>
            </w:pPr>
            <w:r w:rsidRPr="005F03CA">
              <w:rPr>
                <w:rFonts w:ascii="Times New Roman" w:hAnsi="Times New Roman" w:cs="Times New Roman"/>
                <w:lang w:val="en-US"/>
              </w:rPr>
              <w:t>0.1</w:t>
            </w:r>
          </w:p>
        </w:tc>
      </w:tr>
    </w:tbl>
    <w:p w14:paraId="0CC179E4" w14:textId="0B64FABC" w:rsidR="00E54813" w:rsidRPr="00B353A2" w:rsidRDefault="00543902" w:rsidP="00D1640C">
      <w:pPr>
        <w:spacing w:after="0" w:line="240" w:lineRule="auto"/>
        <w:jc w:val="both"/>
        <w:rPr>
          <w:rFonts w:ascii="Times New Roman" w:hAnsi="Times New Roman" w:cs="Times New Roman"/>
          <w:i/>
          <w:iCs/>
          <w:sz w:val="20"/>
          <w:szCs w:val="20"/>
          <w:lang w:val="en-US"/>
        </w:rPr>
      </w:pPr>
      <w:r w:rsidRPr="00B353A2">
        <w:rPr>
          <w:rFonts w:ascii="Times New Roman" w:hAnsi="Times New Roman" w:cs="Times New Roman"/>
          <w:i/>
          <w:iCs/>
          <w:sz w:val="20"/>
          <w:szCs w:val="20"/>
          <w:lang w:val="en-US"/>
        </w:rPr>
        <w:t>Nguồn:</w:t>
      </w:r>
      <w:r w:rsidR="00E54813" w:rsidRPr="00B353A2">
        <w:rPr>
          <w:rFonts w:ascii="Times New Roman" w:hAnsi="Times New Roman" w:cs="Times New Roman"/>
          <w:i/>
          <w:iCs/>
          <w:sz w:val="20"/>
          <w:szCs w:val="20"/>
          <w:lang w:val="en-US"/>
        </w:rPr>
        <w:t xml:space="preserve"> dữ liệu từ GISAID</w:t>
      </w:r>
      <w:r w:rsidRPr="00B353A2">
        <w:rPr>
          <w:rFonts w:ascii="Times New Roman" w:hAnsi="Times New Roman" w:cs="Times New Roman"/>
          <w:i/>
          <w:iCs/>
          <w:sz w:val="20"/>
          <w:szCs w:val="20"/>
          <w:lang w:val="en-US"/>
        </w:rPr>
        <w:t xml:space="preserve"> (WHO)</w:t>
      </w:r>
      <w:r w:rsidR="00E54813" w:rsidRPr="00B353A2">
        <w:rPr>
          <w:rFonts w:ascii="Times New Roman" w:hAnsi="Times New Roman" w:cs="Times New Roman"/>
          <w:i/>
          <w:iCs/>
          <w:sz w:val="20"/>
          <w:szCs w:val="20"/>
          <w:lang w:val="en-US"/>
        </w:rPr>
        <w:t>, trích xuất ngày 18/5/2025</w:t>
      </w:r>
    </w:p>
    <w:p w14:paraId="043C95A7" w14:textId="7DE0211E" w:rsidR="00E54813" w:rsidRPr="00B353A2" w:rsidRDefault="00543902" w:rsidP="00D1640C">
      <w:pPr>
        <w:spacing w:after="0" w:line="240" w:lineRule="auto"/>
        <w:jc w:val="both"/>
        <w:rPr>
          <w:rFonts w:ascii="Times New Roman" w:hAnsi="Times New Roman" w:cs="Times New Roman"/>
          <w:i/>
          <w:iCs/>
          <w:sz w:val="20"/>
          <w:szCs w:val="20"/>
          <w:lang w:val="en-US"/>
        </w:rPr>
      </w:pPr>
      <w:r w:rsidRPr="00B353A2">
        <w:rPr>
          <w:rFonts w:ascii="Times New Roman" w:hAnsi="Times New Roman" w:cs="Times New Roman"/>
          <w:i/>
          <w:iCs/>
          <w:sz w:val="20"/>
          <w:szCs w:val="20"/>
          <w:lang w:val="en-US"/>
        </w:rPr>
        <w:t xml:space="preserve">Ghi chú: </w:t>
      </w:r>
    </w:p>
    <w:p w14:paraId="0C42ADEE" w14:textId="216F1E64" w:rsidR="00543902" w:rsidRPr="00B353A2" w:rsidRDefault="00543902" w:rsidP="00D1640C">
      <w:pPr>
        <w:spacing w:after="0" w:line="240" w:lineRule="auto"/>
        <w:jc w:val="both"/>
        <w:rPr>
          <w:rFonts w:ascii="Times New Roman" w:hAnsi="Times New Roman" w:cs="Times New Roman"/>
          <w:i/>
          <w:iCs/>
          <w:sz w:val="20"/>
          <w:szCs w:val="20"/>
          <w:lang w:val="en-US"/>
        </w:rPr>
      </w:pPr>
      <w:r w:rsidRPr="00B353A2">
        <w:rPr>
          <w:rFonts w:ascii="Times New Roman" w:hAnsi="Times New Roman" w:cs="Times New Roman"/>
          <w:i/>
          <w:iCs/>
          <w:noProof/>
          <w:sz w:val="20"/>
          <w:szCs w:val="20"/>
          <w:lang w:val="en-US"/>
        </w:rPr>
        <mc:AlternateContent>
          <mc:Choice Requires="wps">
            <w:drawing>
              <wp:anchor distT="45720" distB="45720" distL="114300" distR="114300" simplePos="0" relativeHeight="251659264" behindDoc="0" locked="0" layoutInCell="1" allowOverlap="1" wp14:anchorId="3EED9475" wp14:editId="37BD8D3D">
                <wp:simplePos x="0" y="0"/>
                <wp:positionH relativeFrom="margin">
                  <wp:posOffset>0</wp:posOffset>
                </wp:positionH>
                <wp:positionV relativeFrom="paragraph">
                  <wp:posOffset>203835</wp:posOffset>
                </wp:positionV>
                <wp:extent cx="405130" cy="174625"/>
                <wp:effectExtent l="0" t="0" r="1397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74625"/>
                        </a:xfrm>
                        <a:prstGeom prst="rect">
                          <a:avLst/>
                        </a:prstGeom>
                        <a:solidFill>
                          <a:schemeClr val="accent4">
                            <a:lumMod val="60000"/>
                            <a:lumOff val="40000"/>
                          </a:schemeClr>
                        </a:solidFill>
                        <a:ln w="9525">
                          <a:solidFill>
                            <a:schemeClr val="accent4">
                              <a:lumMod val="60000"/>
                              <a:lumOff val="40000"/>
                            </a:schemeClr>
                          </a:solidFill>
                          <a:miter lim="800000"/>
                          <a:headEnd/>
                          <a:tailEnd/>
                        </a:ln>
                      </wps:spPr>
                      <wps:txbx>
                        <w:txbxContent>
                          <w:p w14:paraId="142D1AF0" w14:textId="77777777" w:rsidR="00543902" w:rsidRDefault="00543902" w:rsidP="005439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ED9475" id="_x0000_t202" coordsize="21600,21600" o:spt="202" path="m,l,21600r21600,l21600,xe">
                <v:stroke joinstyle="miter"/>
                <v:path gradientshapeok="t" o:connecttype="rect"/>
              </v:shapetype>
              <v:shape id="Text Box 2" o:spid="_x0000_s1026" type="#_x0000_t202" style="position:absolute;left:0;text-align:left;margin-left:0;margin-top:16.05pt;width:31.9pt;height:1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" fillcolor="#ffd966 [1943]" strokecolor="#ffd966 [1943]">
                <v:textbox>
                  <w:txbxContent>
                    <w:p w14:paraId="142D1AF0" w14:textId="77777777" w:rsidR="00543902" w:rsidRDefault="00543902" w:rsidP="00543902"/>
                  </w:txbxContent>
                </v:textbox>
                <w10:wrap type="square" anchorx="margin"/>
              </v:shape>
            </w:pict>
          </mc:Fallback>
        </mc:AlternateContent>
      </w:r>
    </w:p>
    <w:p w14:paraId="0E2BB3C9" w14:textId="227B6D4B" w:rsidR="00543902" w:rsidRPr="00B353A2" w:rsidRDefault="00B353A2" w:rsidP="00D1640C">
      <w:pPr>
        <w:spacing w:after="0" w:line="240" w:lineRule="auto"/>
        <w:jc w:val="both"/>
        <w:rPr>
          <w:rFonts w:ascii="Times New Roman" w:hAnsi="Times New Roman" w:cs="Times New Roman"/>
          <w:i/>
          <w:iCs/>
          <w:sz w:val="20"/>
          <w:szCs w:val="20"/>
          <w:lang w:val="en-US"/>
        </w:rPr>
      </w:pPr>
      <w:r w:rsidRPr="00B353A2">
        <w:rPr>
          <w:rFonts w:ascii="Times New Roman" w:hAnsi="Times New Roman" w:cs="Times New Roman"/>
          <w:i/>
          <w:iCs/>
          <w:noProof/>
          <w:sz w:val="20"/>
          <w:szCs w:val="20"/>
          <w:lang w:val="en-US"/>
        </w:rPr>
        <mc:AlternateContent>
          <mc:Choice Requires="wps">
            <w:drawing>
              <wp:anchor distT="45720" distB="45720" distL="114300" distR="114300" simplePos="0" relativeHeight="251665408" behindDoc="0" locked="0" layoutInCell="1" allowOverlap="1" wp14:anchorId="0E856019" wp14:editId="526D3F92">
                <wp:simplePos x="0" y="0"/>
                <wp:positionH relativeFrom="margin">
                  <wp:posOffset>2107040</wp:posOffset>
                </wp:positionH>
                <wp:positionV relativeFrom="paragraph">
                  <wp:posOffset>12065</wp:posOffset>
                </wp:positionV>
                <wp:extent cx="405130" cy="174625"/>
                <wp:effectExtent l="0" t="0" r="13970" b="15875"/>
                <wp:wrapSquare wrapText="bothSides"/>
                <wp:docPr id="976497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74625"/>
                        </a:xfrm>
                        <a:prstGeom prst="rect">
                          <a:avLst/>
                        </a:prstGeom>
                        <a:solidFill>
                          <a:schemeClr val="accent5"/>
                        </a:solidFill>
                        <a:ln w="9525">
                          <a:solidFill>
                            <a:schemeClr val="accent5"/>
                          </a:solidFill>
                          <a:miter lim="800000"/>
                          <a:headEnd/>
                          <a:tailEnd/>
                        </a:ln>
                      </wps:spPr>
                      <wps:txbx>
                        <w:txbxContent>
                          <w:p w14:paraId="0833DF5F" w14:textId="2F2487AC" w:rsidR="00B353A2" w:rsidRPr="00B353A2" w:rsidRDefault="00B353A2" w:rsidP="00B353A2">
                            <w:pPr>
                              <w:rPr>
                                <w:lang w:val="en-US"/>
                              </w:rPr>
                            </w:pPr>
                            <w:r>
                              <w:rPr>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56019" id="_x0000_s1027" type="#_x0000_t202" style="position:absolute;left:0;text-align:left;margin-left:165.9pt;margin-top:.95pt;width:31.9pt;height:13.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" fillcolor="#5b9bd5 [3208]" strokecolor="#5b9bd5 [3208]">
                <v:textbox>
                  <w:txbxContent>
                    <w:p w14:paraId="0833DF5F" w14:textId="2F2487AC" w:rsidR="00B353A2" w:rsidRPr="00B353A2" w:rsidRDefault="00B353A2" w:rsidP="00B353A2">
                      <w:pPr>
                        <w:rPr>
                          <w:lang w:val="en-US"/>
                        </w:rPr>
                      </w:pPr>
                      <w:r>
                        <w:rPr>
                          <w:lang w:val="en-US"/>
                        </w:rPr>
                        <w:t xml:space="preserve">       </w:t>
                      </w:r>
                    </w:p>
                  </w:txbxContent>
                </v:textbox>
                <w10:wrap type="square" anchorx="margin"/>
              </v:shape>
            </w:pict>
          </mc:Fallback>
        </mc:AlternateContent>
      </w:r>
      <w:r w:rsidR="00543902" w:rsidRPr="00B353A2">
        <w:rPr>
          <w:rFonts w:ascii="Times New Roman" w:hAnsi="Times New Roman" w:cs="Times New Roman"/>
          <w:i/>
          <w:iCs/>
          <w:sz w:val="20"/>
          <w:szCs w:val="20"/>
          <w:lang w:val="en-US"/>
        </w:rPr>
        <w:t>Biến thể có xu hướng tăng</w:t>
      </w:r>
      <w:r w:rsidRPr="00B353A2">
        <w:rPr>
          <w:rFonts w:ascii="Times New Roman" w:hAnsi="Times New Roman" w:cs="Times New Roman"/>
          <w:i/>
          <w:iCs/>
          <w:sz w:val="20"/>
          <w:szCs w:val="20"/>
          <w:lang w:val="en-US"/>
        </w:rPr>
        <w:t xml:space="preserve">                                                                                                                                                 Biến thể đang duy trì ổn định                </w:t>
      </w:r>
    </w:p>
    <w:p w14:paraId="42A99237" w14:textId="01166AFE" w:rsidR="00543902" w:rsidRPr="00B353A2" w:rsidRDefault="00B353A2" w:rsidP="00D1640C">
      <w:pPr>
        <w:spacing w:after="0" w:line="240" w:lineRule="auto"/>
        <w:jc w:val="both"/>
        <w:rPr>
          <w:rFonts w:ascii="Times New Roman" w:hAnsi="Times New Roman" w:cs="Times New Roman"/>
          <w:i/>
          <w:iCs/>
          <w:sz w:val="20"/>
          <w:szCs w:val="20"/>
          <w:lang w:val="en-US"/>
        </w:rPr>
      </w:pPr>
      <w:r w:rsidRPr="00B353A2">
        <w:rPr>
          <w:rFonts w:ascii="Times New Roman" w:hAnsi="Times New Roman" w:cs="Times New Roman"/>
          <w:i/>
          <w:iCs/>
          <w:sz w:val="20"/>
          <w:szCs w:val="20"/>
          <w:lang w:val="en-US"/>
        </w:rPr>
        <w:t xml:space="preserve">                                      </w:t>
      </w:r>
    </w:p>
    <w:p w14:paraId="63661868" w14:textId="606FA221" w:rsidR="00543902" w:rsidRPr="00B353A2" w:rsidRDefault="00B353A2" w:rsidP="00D1640C">
      <w:pPr>
        <w:spacing w:after="0" w:line="240" w:lineRule="auto"/>
        <w:jc w:val="both"/>
        <w:rPr>
          <w:rFonts w:ascii="Times New Roman" w:hAnsi="Times New Roman" w:cs="Times New Roman"/>
          <w:i/>
          <w:iCs/>
          <w:sz w:val="20"/>
          <w:szCs w:val="20"/>
          <w:lang w:val="en-US"/>
        </w:rPr>
      </w:pPr>
      <w:r w:rsidRPr="00B353A2">
        <w:rPr>
          <w:rFonts w:ascii="Times New Roman" w:hAnsi="Times New Roman" w:cs="Times New Roman"/>
          <w:i/>
          <w:iCs/>
          <w:noProof/>
          <w:sz w:val="20"/>
          <w:szCs w:val="20"/>
          <w:lang w:val="en-US"/>
        </w:rPr>
        <mc:AlternateContent>
          <mc:Choice Requires="wps">
            <w:drawing>
              <wp:anchor distT="45720" distB="45720" distL="114300" distR="114300" simplePos="0" relativeHeight="251663360" behindDoc="0" locked="0" layoutInCell="1" allowOverlap="1" wp14:anchorId="46687E18" wp14:editId="32682567">
                <wp:simplePos x="0" y="0"/>
                <wp:positionH relativeFrom="margin">
                  <wp:posOffset>7620</wp:posOffset>
                </wp:positionH>
                <wp:positionV relativeFrom="paragraph">
                  <wp:posOffset>5080</wp:posOffset>
                </wp:positionV>
                <wp:extent cx="405130" cy="174625"/>
                <wp:effectExtent l="0" t="0" r="13970" b="15875"/>
                <wp:wrapSquare wrapText="bothSides"/>
                <wp:docPr id="2026371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74625"/>
                        </a:xfrm>
                        <a:prstGeom prst="rect">
                          <a:avLst/>
                        </a:prstGeom>
                        <a:solidFill>
                          <a:schemeClr val="accent6">
                            <a:lumMod val="40000"/>
                            <a:lumOff val="60000"/>
                          </a:schemeClr>
                        </a:solidFill>
                        <a:ln w="9525">
                          <a:solidFill>
                            <a:schemeClr val="accent6">
                              <a:lumMod val="40000"/>
                              <a:lumOff val="60000"/>
                            </a:schemeClr>
                          </a:solidFill>
                          <a:miter lim="800000"/>
                          <a:headEnd/>
                          <a:tailEnd/>
                        </a:ln>
                      </wps:spPr>
                      <wps:txbx>
                        <w:txbxContent>
                          <w:p w14:paraId="39869C55" w14:textId="77777777" w:rsidR="00543902" w:rsidRDefault="00543902" w:rsidP="00543902">
                            <w:pPr>
                              <w:rPr>
                                <w:lang w:val="en-US"/>
                              </w:rPr>
                            </w:pPr>
                          </w:p>
                          <w:p w14:paraId="7DA0016D" w14:textId="77777777" w:rsidR="00543902" w:rsidRPr="00543902" w:rsidRDefault="00543902" w:rsidP="00543902">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87E18" id="_x0000_s1028" type="#_x0000_t202" style="position:absolute;left:0;text-align:left;margin-left:.6pt;margin-top:.4pt;width:31.9pt;height:13.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" fillcolor="#c5e0b3 [1305]" strokecolor="#c5e0b3 [1305]">
                <v:textbox>
                  <w:txbxContent>
                    <w:p w14:paraId="39869C55" w14:textId="77777777" w:rsidR="00543902" w:rsidRDefault="00543902" w:rsidP="00543902">
                      <w:pPr>
                        <w:rPr>
                          <w:lang w:val="en-US"/>
                        </w:rPr>
                      </w:pPr>
                    </w:p>
                    <w:p w14:paraId="7DA0016D" w14:textId="77777777" w:rsidR="00543902" w:rsidRPr="00543902" w:rsidRDefault="00543902" w:rsidP="00543902">
                      <w:pPr>
                        <w:rPr>
                          <w:lang w:val="en-US"/>
                        </w:rPr>
                      </w:pPr>
                    </w:p>
                  </w:txbxContent>
                </v:textbox>
                <w10:wrap type="square" anchorx="margin"/>
              </v:shape>
            </w:pict>
          </mc:Fallback>
        </mc:AlternateContent>
      </w:r>
      <w:r w:rsidR="00543902" w:rsidRPr="00B353A2">
        <w:rPr>
          <w:rFonts w:ascii="Times New Roman" w:hAnsi="Times New Roman" w:cs="Times New Roman"/>
          <w:i/>
          <w:iCs/>
          <w:sz w:val="20"/>
          <w:szCs w:val="20"/>
          <w:lang w:val="en-US"/>
        </w:rPr>
        <w:t>Biến thể có xu hướng giảm</w:t>
      </w:r>
    </w:p>
    <w:p w14:paraId="1A2FCC33" w14:textId="77777777" w:rsidR="00B353A2" w:rsidRDefault="00B353A2" w:rsidP="00D1640C">
      <w:pPr>
        <w:spacing w:after="0" w:line="240" w:lineRule="auto"/>
        <w:jc w:val="both"/>
        <w:rPr>
          <w:rFonts w:ascii="Times New Roman" w:hAnsi="Times New Roman" w:cs="Times New Roman"/>
          <w:lang w:val="en-US"/>
        </w:rPr>
      </w:pPr>
    </w:p>
    <w:p w14:paraId="10EA5CDB" w14:textId="53E152FA" w:rsidR="00B353A2" w:rsidRDefault="00B353A2" w:rsidP="00A04012">
      <w:pPr>
        <w:spacing w:after="0" w:line="240" w:lineRule="auto"/>
        <w:ind w:firstLine="567"/>
        <w:jc w:val="both"/>
        <w:rPr>
          <w:rFonts w:ascii="Times New Roman" w:hAnsi="Times New Roman" w:cs="Times New Roman"/>
          <w:lang w:val="en-US"/>
        </w:rPr>
      </w:pPr>
      <w:r>
        <w:rPr>
          <w:rFonts w:ascii="Times New Roman" w:hAnsi="Times New Roman" w:cs="Times New Roman"/>
          <w:lang w:val="en-US"/>
        </w:rPr>
        <w:t xml:space="preserve">WHO và Nhóm Cố vấn kỹ thuật về tiến hoá vi rút (TAG-VE) tiếp tục khuyến nghị các Quốc gia thành viên ưu tiên các hành động cụ thể nhằm giải quyết những vấn đề </w:t>
      </w:r>
      <w:r w:rsidR="00611D41">
        <w:rPr>
          <w:rFonts w:ascii="Times New Roman" w:hAnsi="Times New Roman" w:cs="Times New Roman"/>
          <w:lang w:val="en-US"/>
        </w:rPr>
        <w:t xml:space="preserve">chưa rõ ràng về </w:t>
      </w:r>
      <w:r>
        <w:rPr>
          <w:rFonts w:ascii="Times New Roman" w:hAnsi="Times New Roman" w:cs="Times New Roman"/>
          <w:lang w:val="en-US"/>
        </w:rPr>
        <w:t>khả năng trốn thoát miễn dịch và độ nặng của NB.1.8.1, bao gồm:</w:t>
      </w:r>
    </w:p>
    <w:p w14:paraId="2D8146FE" w14:textId="0E00213E" w:rsidR="00B353A2" w:rsidRDefault="00611D41" w:rsidP="00A30639">
      <w:pPr>
        <w:pStyle w:val="ListParagraph"/>
        <w:numPr>
          <w:ilvl w:val="0"/>
          <w:numId w:val="4"/>
        </w:numPr>
        <w:spacing w:after="60" w:line="240" w:lineRule="auto"/>
        <w:contextualSpacing w:val="0"/>
        <w:jc w:val="both"/>
        <w:rPr>
          <w:rFonts w:ascii="Times New Roman" w:hAnsi="Times New Roman" w:cs="Times New Roman"/>
          <w:lang w:val="en-US"/>
        </w:rPr>
      </w:pPr>
      <w:r>
        <w:rPr>
          <w:rFonts w:ascii="Times New Roman" w:hAnsi="Times New Roman" w:cs="Times New Roman"/>
          <w:lang w:val="en-US"/>
        </w:rPr>
        <w:t>Thực hiện</w:t>
      </w:r>
      <w:r w:rsidR="00B353A2">
        <w:rPr>
          <w:rFonts w:ascii="Times New Roman" w:hAnsi="Times New Roman" w:cs="Times New Roman"/>
          <w:lang w:val="en-US"/>
        </w:rPr>
        <w:t xml:space="preserve"> các xét nghiệm trung hoà bằng cách sử dụng huyết thanh người, đảm bảo đại diện cho cộng đồng bị ảnh hưởng và huyết thanh từ động vật nhiễm vi rút sống NB.1.8.1 phân lập.</w:t>
      </w:r>
    </w:p>
    <w:p w14:paraId="1C9151CC" w14:textId="4EB84371" w:rsidR="00B353A2" w:rsidRPr="00B353A2" w:rsidRDefault="00611D41" w:rsidP="00A30639">
      <w:pPr>
        <w:pStyle w:val="ListParagraph"/>
        <w:numPr>
          <w:ilvl w:val="0"/>
          <w:numId w:val="4"/>
        </w:numPr>
        <w:spacing w:after="60" w:line="240" w:lineRule="auto"/>
        <w:contextualSpacing w:val="0"/>
        <w:jc w:val="both"/>
        <w:rPr>
          <w:rFonts w:ascii="Times New Roman" w:hAnsi="Times New Roman" w:cs="Times New Roman"/>
          <w:lang w:val="en-US"/>
        </w:rPr>
      </w:pPr>
      <w:r>
        <w:rPr>
          <w:rFonts w:ascii="Times New Roman" w:hAnsi="Times New Roman" w:cs="Times New Roman"/>
          <w:lang w:val="en-US"/>
        </w:rPr>
        <w:t>Tiến hành</w:t>
      </w:r>
      <w:r w:rsidR="00B353A2">
        <w:rPr>
          <w:rFonts w:ascii="Times New Roman" w:hAnsi="Times New Roman" w:cs="Times New Roman"/>
          <w:lang w:val="en-US"/>
        </w:rPr>
        <w:t xml:space="preserve"> đánh giá so sánh để phát hiện thay đổi trong các chỉ số liên tục hoặc đặc biệt về độ nặng của bệnh.</w:t>
      </w:r>
    </w:p>
    <w:p w14:paraId="40AC437B" w14:textId="67E5566E" w:rsidR="00B353A2" w:rsidRDefault="00B353A2" w:rsidP="00A30639">
      <w:pPr>
        <w:spacing w:after="60" w:line="240" w:lineRule="auto"/>
        <w:ind w:firstLine="567"/>
        <w:jc w:val="both"/>
        <w:rPr>
          <w:rFonts w:ascii="Times New Roman" w:hAnsi="Times New Roman" w:cs="Times New Roman"/>
          <w:lang w:val="en-US"/>
        </w:rPr>
      </w:pPr>
      <w:r>
        <w:rPr>
          <w:rFonts w:ascii="Times New Roman" w:hAnsi="Times New Roman" w:cs="Times New Roman"/>
          <w:lang w:val="en-US"/>
        </w:rPr>
        <w:t>Đồng thời, WHO và Nhóm Cố vấn kỹ thuật về thành phần vắc xin (TAG-CO-VAC) tiếp tục đánh giá thường xuyên tác động của các biến thể đối với hiệu quả của vắc xin COVID-19 để đưa ra quyết định về việc cập nhật thành phần vắc xin. Trong khuyến nghị mới nhất được công bố vào 15/05/2025, TAG-CO-VAC của WHO đã khuyến nghị rằng các vắc xin đơn giá JN.1 hoặc KP.2 vẫn phù hợp</w:t>
      </w:r>
      <w:r w:rsidR="009827E1">
        <w:rPr>
          <w:rFonts w:ascii="Times New Roman" w:hAnsi="Times New Roman" w:cs="Times New Roman"/>
          <w:lang w:val="en-US"/>
        </w:rPr>
        <w:t xml:space="preserve"> với các kháng nguyên vắc xin COVID-19 và vắc xin đơn giá LP.8.1 là một lựa chọn thay thế phù hợp.</w:t>
      </w:r>
    </w:p>
    <w:p w14:paraId="0524508E" w14:textId="1E267820" w:rsidR="009827E1" w:rsidRDefault="009827E1" w:rsidP="00A30639">
      <w:pPr>
        <w:spacing w:after="60" w:line="240" w:lineRule="auto"/>
        <w:ind w:firstLine="567"/>
        <w:jc w:val="both"/>
        <w:rPr>
          <w:rFonts w:ascii="Times New Roman" w:hAnsi="Times New Roman" w:cs="Times New Roman"/>
          <w:lang w:val="en-US"/>
        </w:rPr>
      </w:pPr>
      <w:r>
        <w:rPr>
          <w:rFonts w:ascii="Times New Roman" w:hAnsi="Times New Roman" w:cs="Times New Roman"/>
          <w:lang w:val="en-US"/>
        </w:rPr>
        <w:t>Bản đánh giá nguy cơ dưới đây dựa theo khung đánh giá của WHO</w:t>
      </w:r>
      <w:r w:rsidR="00A40169">
        <w:rPr>
          <w:rFonts w:ascii="Times New Roman" w:hAnsi="Times New Roman" w:cs="Times New Roman"/>
          <w:lang w:val="en-US"/>
        </w:rPr>
        <w:t xml:space="preserve"> </w:t>
      </w:r>
      <w:r>
        <w:rPr>
          <w:rFonts w:ascii="Times New Roman" w:hAnsi="Times New Roman" w:cs="Times New Roman"/>
          <w:lang w:val="en-US"/>
        </w:rPr>
        <w:t xml:space="preserve">dành cho các biến thể SARS-CoV-2 đã được công bố và dựa trên bằng chứng hiện có. Bản đánh giá này sẽ được điều chỉnh thường xuyên khi có thêm bằng chứng và dữ liệu từ các quốc gia khác. Với tỷ lệ lưu hành các biến thể đáng quan tâm (VOIs) đang giảm và các biến thể đang được giám sát (VUMs) ngày càng khó đáp ứng định nghĩa của VOI, ngày 29/11/2024, WHO đã bắt đầu tiến hành đánh giá nguy cơ đối với </w:t>
      </w:r>
      <w:r w:rsidR="00A40169">
        <w:rPr>
          <w:rFonts w:ascii="Times New Roman" w:hAnsi="Times New Roman" w:cs="Times New Roman"/>
          <w:lang w:val="en-US"/>
        </w:rPr>
        <w:t xml:space="preserve">việc </w:t>
      </w:r>
      <w:r>
        <w:rPr>
          <w:rFonts w:ascii="Times New Roman" w:hAnsi="Times New Roman" w:cs="Times New Roman"/>
          <w:lang w:val="en-US"/>
        </w:rPr>
        <w:t>xác định các VUM bên cạnh VOI.</w:t>
      </w:r>
    </w:p>
    <w:p w14:paraId="68DC8A7E" w14:textId="54075E45" w:rsidR="00951858" w:rsidRPr="00EF43A5" w:rsidRDefault="009827E1" w:rsidP="00A30639">
      <w:pPr>
        <w:spacing w:after="60" w:line="240" w:lineRule="auto"/>
        <w:ind w:firstLine="567"/>
        <w:jc w:val="both"/>
        <w:rPr>
          <w:rFonts w:ascii="Times New Roman" w:hAnsi="Times New Roman" w:cs="Times New Roman"/>
          <w:lang w:val="en-US"/>
        </w:rPr>
      </w:pPr>
      <w:r w:rsidRPr="009827E1">
        <w:rPr>
          <w:rFonts w:ascii="Times New Roman" w:hAnsi="Times New Roman" w:cs="Times New Roman"/>
          <w:lang w:val="en-US"/>
        </w:rPr>
        <w:lastRenderedPageBreak/>
        <w:t>Trước diễn biến phức tạp của dịch COVID-19 trên toàn cầ</w:t>
      </w:r>
      <w:r>
        <w:rPr>
          <w:rFonts w:ascii="Times New Roman" w:hAnsi="Times New Roman" w:cs="Times New Roman"/>
          <w:lang w:val="en-US"/>
        </w:rPr>
        <w:t>u và đ</w:t>
      </w:r>
      <w:r w:rsidR="00A40169">
        <w:rPr>
          <w:rFonts w:ascii="Times New Roman" w:hAnsi="Times New Roman" w:cs="Times New Roman"/>
          <w:lang w:val="en-US"/>
        </w:rPr>
        <w:t>ể</w:t>
      </w:r>
      <w:r>
        <w:rPr>
          <w:rFonts w:ascii="Times New Roman" w:hAnsi="Times New Roman" w:cs="Times New Roman"/>
          <w:lang w:val="en-US"/>
        </w:rPr>
        <w:t xml:space="preserve"> hỗ trợ các quốc gia thành viên trong việc ứng phó các nguy cơ </w:t>
      </w:r>
      <w:r w:rsidR="001A33DC">
        <w:rPr>
          <w:rFonts w:ascii="Times New Roman" w:hAnsi="Times New Roman" w:cs="Times New Roman"/>
          <w:lang w:val="en-US"/>
        </w:rPr>
        <w:t>tiếp diễn</w:t>
      </w:r>
      <w:r>
        <w:rPr>
          <w:rFonts w:ascii="Times New Roman" w:hAnsi="Times New Roman" w:cs="Times New Roman"/>
          <w:lang w:val="en-US"/>
        </w:rPr>
        <w:t xml:space="preserve"> trong quá trình </w:t>
      </w:r>
      <w:r w:rsidR="00EF43A5">
        <w:rPr>
          <w:rFonts w:ascii="Times New Roman" w:hAnsi="Times New Roman" w:cs="Times New Roman"/>
          <w:lang w:val="en-US"/>
        </w:rPr>
        <w:t>chuyển đổi từ sự kiện y tế công cộng khẩn cấp toàn cầu sang quản lý bền vững trong các chương trình kiểm soát và phòng ngừa bệnh tật</w:t>
      </w:r>
      <w:r w:rsidR="001A33DC">
        <w:rPr>
          <w:rFonts w:ascii="Times New Roman" w:hAnsi="Times New Roman" w:cs="Times New Roman"/>
          <w:lang w:val="en-US"/>
        </w:rPr>
        <w:t xml:space="preserve"> rộng hơn</w:t>
      </w:r>
      <w:r w:rsidR="00EF43A5">
        <w:rPr>
          <w:rFonts w:ascii="Times New Roman" w:hAnsi="Times New Roman" w:cs="Times New Roman"/>
          <w:lang w:val="en-US"/>
        </w:rPr>
        <w:t>, các khuyến nghị thường trực của IHR về COVID-19 do Tổng Giám đốc WHO ban hành, ban đầu dự kiến hết hạn vào 30/04/2025, đã được gia hạn thêm 1 năm với cùng nội dung, cho đến 30/04/2026.</w:t>
      </w:r>
    </w:p>
    <w:tbl>
      <w:tblPr>
        <w:tblStyle w:val="TableGrid"/>
        <w:tblW w:w="0" w:type="auto"/>
        <w:tblLook w:val="04A0" w:firstRow="1" w:lastRow="0" w:firstColumn="1" w:lastColumn="0" w:noHBand="0" w:noVBand="1"/>
      </w:tblPr>
      <w:tblGrid>
        <w:gridCol w:w="1696"/>
        <w:gridCol w:w="4820"/>
        <w:gridCol w:w="1417"/>
        <w:gridCol w:w="1417"/>
      </w:tblGrid>
      <w:tr w:rsidR="00706D19" w:rsidRPr="005F03CA" w14:paraId="7F645F39" w14:textId="77777777" w:rsidTr="00EF43A5">
        <w:tc>
          <w:tcPr>
            <w:tcW w:w="1696" w:type="dxa"/>
            <w:shd w:val="clear" w:color="auto" w:fill="FFD966" w:themeFill="accent4" w:themeFillTint="99"/>
          </w:tcPr>
          <w:p w14:paraId="6A12DB16" w14:textId="35089AB0" w:rsidR="00706D19" w:rsidRPr="005F03CA" w:rsidRDefault="00706D19" w:rsidP="00D1640C">
            <w:pPr>
              <w:rPr>
                <w:rFonts w:ascii="Times New Roman" w:hAnsi="Times New Roman" w:cs="Times New Roman"/>
                <w:lang w:val="en-US"/>
              </w:rPr>
            </w:pPr>
            <w:r w:rsidRPr="005F03CA">
              <w:rPr>
                <w:rFonts w:ascii="Times New Roman" w:hAnsi="Times New Roman" w:cs="Times New Roman"/>
                <w:lang w:val="en-US"/>
              </w:rPr>
              <w:t xml:space="preserve">Đánh giá nguy cơ </w:t>
            </w:r>
            <w:r w:rsidR="00EF43A5">
              <w:rPr>
                <w:rFonts w:ascii="Times New Roman" w:hAnsi="Times New Roman" w:cs="Times New Roman"/>
                <w:lang w:val="en-US"/>
              </w:rPr>
              <w:t>chung</w:t>
            </w:r>
            <w:r w:rsidRPr="005F03CA">
              <w:rPr>
                <w:rFonts w:ascii="Times New Roman" w:hAnsi="Times New Roman" w:cs="Times New Roman"/>
                <w:lang w:val="en-US"/>
              </w:rPr>
              <w:t xml:space="preserve">: </w:t>
            </w:r>
            <w:r w:rsidRPr="005F03CA">
              <w:rPr>
                <w:rFonts w:ascii="Times New Roman" w:hAnsi="Times New Roman" w:cs="Times New Roman"/>
                <w:b/>
                <w:bCs/>
                <w:lang w:val="en-US"/>
              </w:rPr>
              <w:t>Thấp</w:t>
            </w:r>
          </w:p>
        </w:tc>
        <w:tc>
          <w:tcPr>
            <w:tcW w:w="7654" w:type="dxa"/>
            <w:gridSpan w:val="3"/>
          </w:tcPr>
          <w:p w14:paraId="2A9A1D23" w14:textId="246B4165" w:rsidR="00EF43A5" w:rsidRDefault="00706D19" w:rsidP="00D1640C">
            <w:pPr>
              <w:jc w:val="both"/>
              <w:rPr>
                <w:rFonts w:ascii="Times New Roman" w:hAnsi="Times New Roman" w:cs="Times New Roman"/>
                <w:lang w:val="en-US"/>
              </w:rPr>
            </w:pPr>
            <w:r w:rsidRPr="005F03CA">
              <w:rPr>
                <w:rFonts w:ascii="Times New Roman" w:hAnsi="Times New Roman" w:cs="Times New Roman"/>
                <w:lang w:val="en-US"/>
              </w:rPr>
              <w:t xml:space="preserve">NB.1.8.1 đang lây lan </w:t>
            </w:r>
            <w:r w:rsidR="00EF43A5">
              <w:rPr>
                <w:rFonts w:ascii="Times New Roman" w:hAnsi="Times New Roman" w:cs="Times New Roman"/>
                <w:lang w:val="en-US"/>
              </w:rPr>
              <w:t>nhanh chóng</w:t>
            </w:r>
            <w:r w:rsidRPr="005F03CA">
              <w:rPr>
                <w:rFonts w:ascii="Times New Roman" w:hAnsi="Times New Roman" w:cs="Times New Roman"/>
                <w:lang w:val="en-US"/>
              </w:rPr>
              <w:t xml:space="preserve"> so với các biến thể cùng lưu hành. Tuy nhiên, NB.1.8.1 </w:t>
            </w:r>
            <w:r w:rsidR="00EF43A5">
              <w:rPr>
                <w:rFonts w:ascii="Times New Roman" w:hAnsi="Times New Roman" w:cs="Times New Roman"/>
                <w:lang w:val="en-US"/>
              </w:rPr>
              <w:t>chỉ cho thấy khả năng trốn thoát miễn dịch ở mức nhẹ</w:t>
            </w:r>
            <w:r w:rsidR="005B3E46">
              <w:rPr>
                <w:rFonts w:ascii="Times New Roman" w:hAnsi="Times New Roman" w:cs="Times New Roman"/>
                <w:lang w:val="en-US"/>
              </w:rPr>
              <w:t xml:space="preserve"> hơn</w:t>
            </w:r>
            <w:r w:rsidR="00EF43A5">
              <w:rPr>
                <w:rFonts w:ascii="Times New Roman" w:hAnsi="Times New Roman" w:cs="Times New Roman"/>
                <w:lang w:val="en-US"/>
              </w:rPr>
              <w:t xml:space="preserve"> so với LP.8.1. Mặc dù một số quốc gia khu vực Tây Thái Bình Dương (WPR) – nơi có tỷ lệ lưu hành NB.1.8.1 cao nhất - ghi nhận sự gia tăng số ca mắc và nhập viện, nhưng hiện chưa có báo cáo nào cho thấy mức độ nghiêm trọng của bệnh do biến thể này cao hơn so với các biến thể khác đang lưu hành.</w:t>
            </w:r>
          </w:p>
          <w:p w14:paraId="5BD199F9" w14:textId="77777777" w:rsidR="00EF43A5" w:rsidRPr="00761509" w:rsidRDefault="00EF43A5" w:rsidP="00D1640C">
            <w:pPr>
              <w:jc w:val="both"/>
              <w:rPr>
                <w:rFonts w:ascii="Times New Roman" w:hAnsi="Times New Roman" w:cs="Times New Roman"/>
                <w:sz w:val="18"/>
                <w:szCs w:val="18"/>
                <w:lang w:val="en-US"/>
              </w:rPr>
            </w:pPr>
          </w:p>
          <w:p w14:paraId="246986C8" w14:textId="7EA6B097" w:rsidR="00706D19" w:rsidRPr="00EF43A5" w:rsidRDefault="00EF43A5" w:rsidP="00D1640C">
            <w:pPr>
              <w:jc w:val="both"/>
              <w:rPr>
                <w:rFonts w:ascii="Times New Roman" w:hAnsi="Times New Roman" w:cs="Times New Roman"/>
                <w:lang w:val="en-US"/>
              </w:rPr>
            </w:pPr>
            <w:r>
              <w:rPr>
                <w:rFonts w:ascii="Times New Roman" w:hAnsi="Times New Roman" w:cs="Times New Roman"/>
                <w:lang w:val="en-US"/>
              </w:rPr>
              <w:t>Các bằng chứng hiện có về NB.1.8.1 không cho thấy nguy cơ về y tế công cộng bổ sung nào so với các dòng phụ hiện đang lưu hành của biến thể Omicron.</w:t>
            </w:r>
          </w:p>
        </w:tc>
      </w:tr>
      <w:tr w:rsidR="00706D19" w:rsidRPr="005F03CA" w14:paraId="1FBA2432" w14:textId="77777777" w:rsidTr="00910D2E">
        <w:tc>
          <w:tcPr>
            <w:tcW w:w="1696" w:type="dxa"/>
            <w:shd w:val="clear" w:color="auto" w:fill="BDD6EE" w:themeFill="accent5" w:themeFillTint="66"/>
            <w:vAlign w:val="center"/>
          </w:tcPr>
          <w:p w14:paraId="48A6133B" w14:textId="5BAABD41" w:rsidR="00706D19" w:rsidRPr="00633268" w:rsidRDefault="00706D19" w:rsidP="005E3584">
            <w:pPr>
              <w:rPr>
                <w:rFonts w:ascii="Times New Roman" w:hAnsi="Times New Roman" w:cs="Times New Roman"/>
                <w:b/>
                <w:bCs/>
                <w:lang w:val="en-US"/>
              </w:rPr>
            </w:pPr>
            <w:r w:rsidRPr="00633268">
              <w:rPr>
                <w:rFonts w:ascii="Times New Roman" w:hAnsi="Times New Roman" w:cs="Times New Roman"/>
                <w:b/>
                <w:bCs/>
                <w:lang w:val="en-US"/>
              </w:rPr>
              <w:t>Chỉ số</w:t>
            </w:r>
          </w:p>
        </w:tc>
        <w:tc>
          <w:tcPr>
            <w:tcW w:w="4820" w:type="dxa"/>
            <w:shd w:val="clear" w:color="auto" w:fill="BDD6EE" w:themeFill="accent5" w:themeFillTint="66"/>
            <w:vAlign w:val="center"/>
          </w:tcPr>
          <w:p w14:paraId="263C8C23" w14:textId="59245B5B" w:rsidR="00706D19" w:rsidRPr="00633268" w:rsidRDefault="00706D19" w:rsidP="005E3584">
            <w:pPr>
              <w:jc w:val="center"/>
              <w:rPr>
                <w:rFonts w:ascii="Times New Roman" w:hAnsi="Times New Roman" w:cs="Times New Roman"/>
                <w:b/>
                <w:bCs/>
                <w:lang w:val="en-US"/>
              </w:rPr>
            </w:pPr>
            <w:r w:rsidRPr="00633268">
              <w:rPr>
                <w:rFonts w:ascii="Times New Roman" w:hAnsi="Times New Roman" w:cs="Times New Roman"/>
                <w:b/>
                <w:bCs/>
                <w:lang w:val="en-US"/>
              </w:rPr>
              <w:t>Bằng chứng</w:t>
            </w:r>
          </w:p>
        </w:tc>
        <w:tc>
          <w:tcPr>
            <w:tcW w:w="1417" w:type="dxa"/>
            <w:shd w:val="clear" w:color="auto" w:fill="BDD6EE" w:themeFill="accent5" w:themeFillTint="66"/>
            <w:vAlign w:val="center"/>
          </w:tcPr>
          <w:p w14:paraId="7BD8DC0D" w14:textId="596C19FE" w:rsidR="00706D19" w:rsidRPr="00633268" w:rsidRDefault="00706D19" w:rsidP="005E3584">
            <w:pPr>
              <w:jc w:val="center"/>
              <w:rPr>
                <w:rFonts w:ascii="Times New Roman" w:hAnsi="Times New Roman" w:cs="Times New Roman"/>
                <w:b/>
                <w:bCs/>
                <w:lang w:val="en-US"/>
              </w:rPr>
            </w:pPr>
            <w:r w:rsidRPr="00633268">
              <w:rPr>
                <w:rFonts w:ascii="Times New Roman" w:hAnsi="Times New Roman" w:cs="Times New Roman"/>
                <w:b/>
                <w:bCs/>
                <w:lang w:val="en-US"/>
              </w:rPr>
              <w:t>Mức độ nguy cơ</w:t>
            </w:r>
          </w:p>
        </w:tc>
        <w:tc>
          <w:tcPr>
            <w:tcW w:w="1417" w:type="dxa"/>
            <w:shd w:val="clear" w:color="auto" w:fill="BDD6EE" w:themeFill="accent5" w:themeFillTint="66"/>
            <w:vAlign w:val="center"/>
          </w:tcPr>
          <w:p w14:paraId="497EC78C" w14:textId="1A70EE1F" w:rsidR="00706D19" w:rsidRPr="00633268" w:rsidRDefault="00706D19" w:rsidP="005E3584">
            <w:pPr>
              <w:jc w:val="center"/>
              <w:rPr>
                <w:rFonts w:ascii="Times New Roman" w:hAnsi="Times New Roman" w:cs="Times New Roman"/>
                <w:b/>
                <w:bCs/>
                <w:lang w:val="en-US"/>
              </w:rPr>
            </w:pPr>
            <w:r w:rsidRPr="00633268">
              <w:rPr>
                <w:rFonts w:ascii="Times New Roman" w:hAnsi="Times New Roman" w:cs="Times New Roman"/>
                <w:b/>
                <w:bCs/>
                <w:lang w:val="en-US"/>
              </w:rPr>
              <w:t>Mức độ tin cậy</w:t>
            </w:r>
          </w:p>
        </w:tc>
      </w:tr>
      <w:tr w:rsidR="00706D19" w:rsidRPr="005F03CA" w14:paraId="6294701B" w14:textId="77777777" w:rsidTr="006012D7">
        <w:tc>
          <w:tcPr>
            <w:tcW w:w="1696" w:type="dxa"/>
          </w:tcPr>
          <w:p w14:paraId="430B5FF1" w14:textId="68FDB386" w:rsidR="00706D19" w:rsidRPr="005F03CA" w:rsidRDefault="00894DA5" w:rsidP="00D1640C">
            <w:pPr>
              <w:rPr>
                <w:rFonts w:ascii="Times New Roman" w:hAnsi="Times New Roman" w:cs="Times New Roman"/>
                <w:lang w:val="en-US"/>
              </w:rPr>
            </w:pPr>
            <w:r>
              <w:rPr>
                <w:rFonts w:ascii="Times New Roman" w:hAnsi="Times New Roman" w:cs="Times New Roman"/>
                <w:lang w:val="en-US"/>
              </w:rPr>
              <w:t xml:space="preserve">Lợi thế </w:t>
            </w:r>
            <w:r w:rsidR="005B3E46">
              <w:rPr>
                <w:rFonts w:ascii="Times New Roman" w:hAnsi="Times New Roman" w:cs="Times New Roman"/>
                <w:lang w:val="en-US"/>
              </w:rPr>
              <w:t>tăng trưởng</w:t>
            </w:r>
          </w:p>
        </w:tc>
        <w:tc>
          <w:tcPr>
            <w:tcW w:w="4820" w:type="dxa"/>
          </w:tcPr>
          <w:p w14:paraId="40F725BA" w14:textId="35F7E5E6" w:rsidR="00633268" w:rsidRPr="00633268" w:rsidRDefault="00633268" w:rsidP="00633268">
            <w:pPr>
              <w:jc w:val="both"/>
              <w:rPr>
                <w:rFonts w:ascii="Times New Roman" w:hAnsi="Times New Roman" w:cs="Times New Roman"/>
                <w:lang w:val="en-US"/>
              </w:rPr>
            </w:pPr>
            <w:r w:rsidRPr="00633268">
              <w:rPr>
                <w:rFonts w:ascii="Times New Roman" w:hAnsi="Times New Roman" w:cs="Times New Roman"/>
                <w:lang w:val="en-US"/>
              </w:rPr>
              <w:t>Hiện có 518 trình tự NB.1.8.1 được ghi nhận từ 22 quốc gia, chiếm 10,7% tổng số trình tự được báo cáo trên toàn cầu trong tuần 17</w:t>
            </w:r>
            <w:r>
              <w:rPr>
                <w:rFonts w:ascii="Times New Roman" w:hAnsi="Times New Roman" w:cs="Times New Roman"/>
                <w:lang w:val="en-US"/>
              </w:rPr>
              <w:t>/</w:t>
            </w:r>
            <w:r w:rsidRPr="00633268">
              <w:rPr>
                <w:rFonts w:ascii="Times New Roman" w:hAnsi="Times New Roman" w:cs="Times New Roman"/>
                <w:lang w:val="en-US"/>
              </w:rPr>
              <w:t xml:space="preserve">2025 (từ </w:t>
            </w:r>
            <w:r w:rsidR="0017340F">
              <w:rPr>
                <w:rFonts w:ascii="Times New Roman" w:hAnsi="Times New Roman" w:cs="Times New Roman"/>
                <w:lang w:val="en-US"/>
              </w:rPr>
              <w:t>21-27/04/2025</w:t>
            </w:r>
            <w:r w:rsidRPr="00633268">
              <w:rPr>
                <w:rFonts w:ascii="Times New Roman" w:hAnsi="Times New Roman" w:cs="Times New Roman"/>
                <w:lang w:val="en-US"/>
              </w:rPr>
              <w:t xml:space="preserve">). Mặc dù </w:t>
            </w:r>
            <w:r w:rsidR="00836A52">
              <w:rPr>
                <w:rFonts w:ascii="Times New Roman" w:hAnsi="Times New Roman" w:cs="Times New Roman"/>
                <w:lang w:val="en-US"/>
              </w:rPr>
              <w:t>con số</w:t>
            </w:r>
            <w:r w:rsidRPr="00633268">
              <w:rPr>
                <w:rFonts w:ascii="Times New Roman" w:hAnsi="Times New Roman" w:cs="Times New Roman"/>
                <w:lang w:val="en-US"/>
              </w:rPr>
              <w:t xml:space="preserve"> còn thấp, tỷ lệ này đã tăng đáng kể so với 2,5% ghi nhận </w:t>
            </w:r>
            <w:r w:rsidR="0017340F">
              <w:rPr>
                <w:rFonts w:ascii="Times New Roman" w:hAnsi="Times New Roman" w:cs="Times New Roman"/>
                <w:lang w:val="en-US"/>
              </w:rPr>
              <w:t>4</w:t>
            </w:r>
            <w:r w:rsidRPr="00633268">
              <w:rPr>
                <w:rFonts w:ascii="Times New Roman" w:hAnsi="Times New Roman" w:cs="Times New Roman"/>
                <w:lang w:val="en-US"/>
              </w:rPr>
              <w:t xml:space="preserve"> tuần trước đó (tuần 14, từ </w:t>
            </w:r>
            <w:r w:rsidR="0017340F">
              <w:rPr>
                <w:rFonts w:ascii="Times New Roman" w:hAnsi="Times New Roman" w:cs="Times New Roman"/>
                <w:lang w:val="en-US"/>
              </w:rPr>
              <w:t>31/03</w:t>
            </w:r>
            <w:r w:rsidRPr="00633268">
              <w:rPr>
                <w:rFonts w:ascii="Times New Roman" w:hAnsi="Times New Roman" w:cs="Times New Roman"/>
                <w:lang w:val="en-US"/>
              </w:rPr>
              <w:t xml:space="preserve"> đến </w:t>
            </w:r>
            <w:r w:rsidR="0017340F">
              <w:rPr>
                <w:rFonts w:ascii="Times New Roman" w:hAnsi="Times New Roman" w:cs="Times New Roman"/>
                <w:lang w:val="en-US"/>
              </w:rPr>
              <w:t>06/04/2025</w:t>
            </w:r>
            <w:r w:rsidRPr="00633268">
              <w:rPr>
                <w:rFonts w:ascii="Times New Roman" w:hAnsi="Times New Roman" w:cs="Times New Roman"/>
                <w:lang w:val="en-US"/>
              </w:rPr>
              <w:t>).</w:t>
            </w:r>
          </w:p>
          <w:p w14:paraId="646F30A0" w14:textId="77777777" w:rsidR="00633268" w:rsidRPr="00BF18CD" w:rsidRDefault="00633268" w:rsidP="00633268">
            <w:pPr>
              <w:jc w:val="both"/>
              <w:rPr>
                <w:rFonts w:ascii="Times New Roman" w:hAnsi="Times New Roman" w:cs="Times New Roman"/>
                <w:sz w:val="16"/>
                <w:szCs w:val="16"/>
                <w:lang w:val="en-US"/>
              </w:rPr>
            </w:pPr>
          </w:p>
          <w:p w14:paraId="18A96516" w14:textId="3D553504" w:rsidR="00633268" w:rsidRPr="00633268" w:rsidRDefault="00633268" w:rsidP="00633268">
            <w:pPr>
              <w:jc w:val="both"/>
              <w:rPr>
                <w:rFonts w:ascii="Times New Roman" w:hAnsi="Times New Roman" w:cs="Times New Roman"/>
                <w:lang w:val="en-US"/>
              </w:rPr>
            </w:pPr>
            <w:r w:rsidRPr="00633268">
              <w:rPr>
                <w:rFonts w:ascii="Times New Roman" w:hAnsi="Times New Roman" w:cs="Times New Roman"/>
                <w:lang w:val="en-US"/>
              </w:rPr>
              <w:t>Trong khi tỷ lệ NB.1.8.1 đang gia tăng, LP.8.1 – biến thể SARS-CoV-2 được WHO theo dõi thường xuyên nhất – lại có xu hướng giảm, chiếm 39,0% trong tuần</w:t>
            </w:r>
            <w:r w:rsidR="0017340F">
              <w:rPr>
                <w:rFonts w:ascii="Times New Roman" w:hAnsi="Times New Roman" w:cs="Times New Roman"/>
                <w:lang w:val="en-US"/>
              </w:rPr>
              <w:t xml:space="preserve"> </w:t>
            </w:r>
            <w:r w:rsidRPr="00633268">
              <w:rPr>
                <w:rFonts w:ascii="Times New Roman" w:hAnsi="Times New Roman" w:cs="Times New Roman"/>
                <w:lang w:val="en-US"/>
              </w:rPr>
              <w:t>1</w:t>
            </w:r>
            <w:r w:rsidR="0017340F">
              <w:rPr>
                <w:rFonts w:ascii="Times New Roman" w:hAnsi="Times New Roman" w:cs="Times New Roman"/>
                <w:lang w:val="en-US"/>
              </w:rPr>
              <w:t>7/</w:t>
            </w:r>
            <w:r w:rsidRPr="00633268">
              <w:rPr>
                <w:rFonts w:ascii="Times New Roman" w:hAnsi="Times New Roman" w:cs="Times New Roman"/>
                <w:lang w:val="en-US"/>
              </w:rPr>
              <w:t xml:space="preserve">2025 so với 42,0% trong tuần </w:t>
            </w:r>
            <w:r w:rsidR="0017340F">
              <w:rPr>
                <w:rFonts w:ascii="Times New Roman" w:hAnsi="Times New Roman" w:cs="Times New Roman"/>
                <w:lang w:val="en-US"/>
              </w:rPr>
              <w:t>14/</w:t>
            </w:r>
            <w:r w:rsidRPr="00633268">
              <w:rPr>
                <w:rFonts w:ascii="Times New Roman" w:hAnsi="Times New Roman" w:cs="Times New Roman"/>
                <w:lang w:val="en-US"/>
              </w:rPr>
              <w:t>2025.</w:t>
            </w:r>
          </w:p>
          <w:p w14:paraId="3597B33E" w14:textId="77777777" w:rsidR="00633268" w:rsidRPr="00BF18CD" w:rsidRDefault="00633268" w:rsidP="00633268">
            <w:pPr>
              <w:jc w:val="both"/>
              <w:rPr>
                <w:rFonts w:ascii="Times New Roman" w:hAnsi="Times New Roman" w:cs="Times New Roman"/>
                <w:sz w:val="18"/>
                <w:szCs w:val="18"/>
                <w:lang w:val="en-US"/>
              </w:rPr>
            </w:pPr>
          </w:p>
          <w:p w14:paraId="17C4187C" w14:textId="66D8648B" w:rsidR="00633268" w:rsidRPr="00894DA5" w:rsidRDefault="00633268" w:rsidP="00633268">
            <w:pPr>
              <w:jc w:val="both"/>
              <w:rPr>
                <w:rFonts w:ascii="Times New Roman" w:hAnsi="Times New Roman" w:cs="Times New Roman"/>
                <w:lang w:val="en-US"/>
              </w:rPr>
            </w:pPr>
            <w:r w:rsidRPr="00633268">
              <w:rPr>
                <w:rFonts w:ascii="Times New Roman" w:hAnsi="Times New Roman" w:cs="Times New Roman"/>
                <w:lang w:val="en-US"/>
              </w:rPr>
              <w:t xml:space="preserve">Theo mô hình hồi quy logistic, so với LP.8.1.1, NB.1.8.1 được ước tính </w:t>
            </w:r>
            <w:r w:rsidRPr="00894DA5">
              <w:rPr>
                <w:rFonts w:ascii="Times New Roman" w:hAnsi="Times New Roman" w:cs="Times New Roman"/>
                <w:lang w:val="en-US"/>
              </w:rPr>
              <w:t xml:space="preserve">có </w:t>
            </w:r>
            <w:r w:rsidR="00894DA5" w:rsidRPr="00894DA5">
              <w:rPr>
                <w:rFonts w:ascii="Times New Roman" w:hAnsi="Times New Roman" w:cs="Times New Roman"/>
                <w:lang w:val="en-US"/>
              </w:rPr>
              <w:t>lợi thế tăng trưởng</w:t>
            </w:r>
            <w:r w:rsidRPr="00894DA5">
              <w:rPr>
                <w:rFonts w:ascii="Times New Roman" w:hAnsi="Times New Roman" w:cs="Times New Roman"/>
                <w:lang w:val="en-US"/>
              </w:rPr>
              <w:t xml:space="preserve"> tương đối cao hơn so với các biến thể đồng lưu hành khác gồm BA.3.2, NB.1, NB.1.8, LF.9, LF.7.2.1, LF.7.7.2, XFH và XEC.25.1. Chỉ có biến thể XFG được ước tính có lợi thế tăng trưởng tương đối cao hơn NB.1.8.1.</w:t>
            </w:r>
          </w:p>
          <w:p w14:paraId="58EC010C" w14:textId="77777777" w:rsidR="00633268" w:rsidRPr="00A04012" w:rsidRDefault="00633268" w:rsidP="00633268">
            <w:pPr>
              <w:jc w:val="both"/>
              <w:rPr>
                <w:rFonts w:ascii="Times New Roman" w:hAnsi="Times New Roman" w:cs="Times New Roman"/>
                <w:sz w:val="14"/>
                <w:szCs w:val="14"/>
                <w:lang w:val="en-US"/>
              </w:rPr>
            </w:pPr>
          </w:p>
          <w:p w14:paraId="266C68DC" w14:textId="0F025977" w:rsidR="00706D19" w:rsidRPr="00DB388A" w:rsidRDefault="00633268" w:rsidP="00D1640C">
            <w:pPr>
              <w:jc w:val="both"/>
              <w:rPr>
                <w:rFonts w:ascii="Times New Roman" w:hAnsi="Times New Roman" w:cs="Times New Roman"/>
                <w:lang w:val="en-US"/>
              </w:rPr>
            </w:pPr>
            <w:r w:rsidRPr="00894DA5">
              <w:rPr>
                <w:rFonts w:ascii="Times New Roman" w:hAnsi="Times New Roman" w:cs="Times New Roman"/>
                <w:lang w:val="en-US"/>
              </w:rPr>
              <w:t>Pseudovirus</w:t>
            </w:r>
            <w:r w:rsidR="00DB388A" w:rsidRPr="00894DA5">
              <w:rPr>
                <w:rFonts w:ascii="Times New Roman" w:hAnsi="Times New Roman" w:cs="Times New Roman"/>
                <w:lang w:val="en-US"/>
              </w:rPr>
              <w:t xml:space="preserve"> (vi rút giả)</w:t>
            </w:r>
            <w:r w:rsidRPr="00894DA5">
              <w:rPr>
                <w:rFonts w:ascii="Times New Roman" w:hAnsi="Times New Roman" w:cs="Times New Roman"/>
                <w:lang w:val="en-US"/>
              </w:rPr>
              <w:t xml:space="preserve"> NB.1.</w:t>
            </w:r>
            <w:r w:rsidRPr="00633268">
              <w:rPr>
                <w:rFonts w:ascii="Times New Roman" w:hAnsi="Times New Roman" w:cs="Times New Roman"/>
                <w:lang w:val="en-US"/>
              </w:rPr>
              <w:t xml:space="preserve">8.1 cho thấy khả năng gắn kết mạnh với </w:t>
            </w:r>
            <w:r w:rsidR="00DB388A">
              <w:rPr>
                <w:rFonts w:ascii="Times New Roman" w:hAnsi="Times New Roman" w:cs="Times New Roman"/>
                <w:lang w:val="en-US"/>
              </w:rPr>
              <w:t>h</w:t>
            </w:r>
            <w:r w:rsidRPr="00633268">
              <w:rPr>
                <w:rFonts w:ascii="Times New Roman" w:hAnsi="Times New Roman" w:cs="Times New Roman"/>
                <w:lang w:val="en-US"/>
              </w:rPr>
              <w:t>ACE2; mức độ gắn kết này thấp hơn LP.8.1.1 nhưng cao hơn so với các biến thể đang gia tăng khác như XFG và XFH. Ngoài ra, pseudovirus NB.1.8.1 thể hiện khả năng</w:t>
            </w:r>
            <w:r w:rsidR="00DB388A">
              <w:rPr>
                <w:rFonts w:ascii="Times New Roman" w:hAnsi="Times New Roman" w:cs="Times New Roman"/>
                <w:lang w:val="en-US"/>
              </w:rPr>
              <w:t xml:space="preserve"> gây </w:t>
            </w:r>
            <w:r w:rsidRPr="00633268">
              <w:rPr>
                <w:rFonts w:ascii="Times New Roman" w:hAnsi="Times New Roman" w:cs="Times New Roman"/>
                <w:lang w:val="en-US"/>
              </w:rPr>
              <w:t xml:space="preserve">nhiễm mạnh trên tế bào </w:t>
            </w:r>
            <w:r w:rsidR="00DB388A">
              <w:rPr>
                <w:rFonts w:ascii="Times New Roman" w:hAnsi="Times New Roman" w:cs="Times New Roman"/>
                <w:lang w:val="en-US"/>
              </w:rPr>
              <w:t>v</w:t>
            </w:r>
            <w:r w:rsidRPr="00633268">
              <w:rPr>
                <w:rFonts w:ascii="Times New Roman" w:hAnsi="Times New Roman" w:cs="Times New Roman"/>
                <w:lang w:val="en-US"/>
              </w:rPr>
              <w:t>ero trong điều kiện in vitro.</w:t>
            </w:r>
          </w:p>
        </w:tc>
        <w:tc>
          <w:tcPr>
            <w:tcW w:w="1417" w:type="dxa"/>
          </w:tcPr>
          <w:p w14:paraId="27FF7E44" w14:textId="35831AD1" w:rsidR="00706D19" w:rsidRPr="005F03CA" w:rsidRDefault="006012D7" w:rsidP="00DB388A">
            <w:pPr>
              <w:jc w:val="center"/>
              <w:rPr>
                <w:rFonts w:ascii="Times New Roman" w:hAnsi="Times New Roman" w:cs="Times New Roman"/>
                <w:lang w:val="en-US"/>
              </w:rPr>
            </w:pPr>
            <w:r w:rsidRPr="005F03CA">
              <w:rPr>
                <w:rFonts w:ascii="Times New Roman" w:hAnsi="Times New Roman" w:cs="Times New Roman"/>
                <w:lang w:val="en-US"/>
              </w:rPr>
              <w:t>Trung bình</w:t>
            </w:r>
          </w:p>
        </w:tc>
        <w:tc>
          <w:tcPr>
            <w:tcW w:w="1417" w:type="dxa"/>
          </w:tcPr>
          <w:p w14:paraId="0F9BAEFA" w14:textId="5485BE40" w:rsidR="00706D19" w:rsidRPr="005F03CA" w:rsidRDefault="006012D7" w:rsidP="00DB388A">
            <w:pPr>
              <w:jc w:val="center"/>
              <w:rPr>
                <w:rFonts w:ascii="Times New Roman" w:hAnsi="Times New Roman" w:cs="Times New Roman"/>
                <w:lang w:val="en-US"/>
              </w:rPr>
            </w:pPr>
            <w:r w:rsidRPr="005F03CA">
              <w:rPr>
                <w:rFonts w:ascii="Times New Roman" w:hAnsi="Times New Roman" w:cs="Times New Roman"/>
                <w:lang w:val="en-US"/>
              </w:rPr>
              <w:t>Thấp</w:t>
            </w:r>
          </w:p>
        </w:tc>
      </w:tr>
      <w:tr w:rsidR="00706D19" w:rsidRPr="005F03CA" w14:paraId="03621F03" w14:textId="77777777" w:rsidTr="006012D7">
        <w:tc>
          <w:tcPr>
            <w:tcW w:w="1696" w:type="dxa"/>
          </w:tcPr>
          <w:p w14:paraId="739D99FE" w14:textId="52639EF1" w:rsidR="00706D19" w:rsidRPr="005F03CA" w:rsidRDefault="00C26B06" w:rsidP="00D1640C">
            <w:pPr>
              <w:rPr>
                <w:rFonts w:ascii="Times New Roman" w:hAnsi="Times New Roman" w:cs="Times New Roman"/>
                <w:lang w:val="en-US"/>
              </w:rPr>
            </w:pPr>
            <w:r w:rsidRPr="005F03CA">
              <w:rPr>
                <w:rFonts w:ascii="Times New Roman" w:hAnsi="Times New Roman" w:cs="Times New Roman"/>
                <w:lang w:val="en-US"/>
              </w:rPr>
              <w:t xml:space="preserve">Khả năng </w:t>
            </w:r>
            <w:r w:rsidR="00DB388A">
              <w:rPr>
                <w:rFonts w:ascii="Times New Roman" w:hAnsi="Times New Roman" w:cs="Times New Roman"/>
                <w:lang w:val="en-US"/>
              </w:rPr>
              <w:t>trốn thoát miễn dịch</w:t>
            </w:r>
          </w:p>
        </w:tc>
        <w:tc>
          <w:tcPr>
            <w:tcW w:w="4820" w:type="dxa"/>
          </w:tcPr>
          <w:p w14:paraId="34B382B4" w14:textId="32737DCD" w:rsidR="00DB388A" w:rsidRPr="00DB388A" w:rsidRDefault="00DB388A" w:rsidP="00DB388A">
            <w:pPr>
              <w:jc w:val="both"/>
              <w:rPr>
                <w:rFonts w:ascii="Times New Roman" w:hAnsi="Times New Roman" w:cs="Times New Roman"/>
                <w:lang w:val="en-US"/>
              </w:rPr>
            </w:pPr>
            <w:r w:rsidRPr="00DB388A">
              <w:rPr>
                <w:rFonts w:ascii="Times New Roman" w:hAnsi="Times New Roman" w:cs="Times New Roman"/>
              </w:rPr>
              <w:t xml:space="preserve">Sử dụng pseudovirus và huyết </w:t>
            </w:r>
            <w:r>
              <w:rPr>
                <w:rFonts w:ascii="Times New Roman" w:hAnsi="Times New Roman" w:cs="Times New Roman"/>
                <w:lang w:val="en-US"/>
              </w:rPr>
              <w:t>tương</w:t>
            </w:r>
            <w:r w:rsidRPr="00DB388A">
              <w:rPr>
                <w:rFonts w:ascii="Times New Roman" w:hAnsi="Times New Roman" w:cs="Times New Roman"/>
              </w:rPr>
              <w:t xml:space="preserve"> từ các trường hợp nhiễm đột phá BA.5 với biến thể JN.1 hoặc JN.1/XDV+F456L, NB.1.8.1 cho thấy mức giảm trung hòa từ 1,5 đến 1,6 lần so </w:t>
            </w:r>
            <w:r w:rsidRPr="00DB388A">
              <w:rPr>
                <w:rFonts w:ascii="Times New Roman" w:hAnsi="Times New Roman" w:cs="Times New Roman"/>
              </w:rPr>
              <w:lastRenderedPageBreak/>
              <w:t>với LP.8.1.1. Hiện chưa có dữ liệu trung hòa từ các quần thể khác.</w:t>
            </w:r>
          </w:p>
          <w:p w14:paraId="65A9F840" w14:textId="023B84DF" w:rsidR="00DB388A" w:rsidRPr="00DB388A" w:rsidRDefault="00DB388A" w:rsidP="00DB388A">
            <w:pPr>
              <w:jc w:val="both"/>
              <w:rPr>
                <w:rFonts w:ascii="Times New Roman" w:hAnsi="Times New Roman" w:cs="Times New Roman"/>
                <w:lang w:val="en-US"/>
              </w:rPr>
            </w:pPr>
            <w:r w:rsidRPr="00DB388A">
              <w:rPr>
                <w:rFonts w:ascii="Times New Roman" w:hAnsi="Times New Roman" w:cs="Times New Roman"/>
              </w:rPr>
              <w:t xml:space="preserve">Bản đồ kháng nguyên (antigenic cartography) sử dụng mẫu huyết thanh từ chuột được miễn dịch với </w:t>
            </w:r>
            <w:r>
              <w:rPr>
                <w:rFonts w:ascii="Times New Roman" w:hAnsi="Times New Roman" w:cs="Times New Roman"/>
                <w:lang w:val="en-US"/>
              </w:rPr>
              <w:t>2</w:t>
            </w:r>
            <w:r w:rsidRPr="00DB388A">
              <w:rPr>
                <w:rFonts w:ascii="Times New Roman" w:hAnsi="Times New Roman" w:cs="Times New Roman"/>
              </w:rPr>
              <w:t xml:space="preserve"> liều v</w:t>
            </w:r>
            <w:r>
              <w:rPr>
                <w:rFonts w:ascii="Times New Roman" w:hAnsi="Times New Roman" w:cs="Times New Roman"/>
                <w:lang w:val="en-US"/>
              </w:rPr>
              <w:t>ắc xin spkie</w:t>
            </w:r>
            <w:r w:rsidRPr="00DB388A">
              <w:rPr>
                <w:rFonts w:ascii="Times New Roman" w:hAnsi="Times New Roman" w:cs="Times New Roman"/>
              </w:rPr>
              <w:t xml:space="preserve"> mRNA cho thấy pseudovirus NB.1.8.1 tập </w:t>
            </w:r>
            <w:r>
              <w:rPr>
                <w:rFonts w:ascii="Times New Roman" w:hAnsi="Times New Roman" w:cs="Times New Roman"/>
                <w:lang w:val="en-US"/>
              </w:rPr>
              <w:t>hợp</w:t>
            </w:r>
            <w:r w:rsidRPr="00DB388A">
              <w:rPr>
                <w:rFonts w:ascii="Times New Roman" w:hAnsi="Times New Roman" w:cs="Times New Roman"/>
              </w:rPr>
              <w:t xml:space="preserve"> kháng nguyên (antigenically cluster) với các dòng phụ khác thuộc JN.1</w:t>
            </w:r>
            <w:r>
              <w:rPr>
                <w:rFonts w:ascii="Times New Roman" w:hAnsi="Times New Roman" w:cs="Times New Roman"/>
                <w:lang w:val="en-US"/>
              </w:rPr>
              <w:t>.</w:t>
            </w:r>
          </w:p>
          <w:p w14:paraId="44A591D1" w14:textId="77777777" w:rsidR="00DB388A" w:rsidRPr="00BF18CD" w:rsidRDefault="00DB388A" w:rsidP="00DB388A">
            <w:pPr>
              <w:jc w:val="both"/>
              <w:rPr>
                <w:rFonts w:ascii="Times New Roman" w:hAnsi="Times New Roman" w:cs="Times New Roman"/>
                <w:sz w:val="14"/>
                <w:szCs w:val="14"/>
              </w:rPr>
            </w:pPr>
          </w:p>
          <w:p w14:paraId="00298B7B" w14:textId="672E67CC" w:rsidR="00706D19" w:rsidRPr="00DB388A" w:rsidRDefault="00DB388A" w:rsidP="00DB388A">
            <w:pPr>
              <w:jc w:val="both"/>
              <w:rPr>
                <w:rFonts w:ascii="Times New Roman" w:hAnsi="Times New Roman" w:cs="Times New Roman"/>
                <w:lang w:val="en-US"/>
              </w:rPr>
            </w:pPr>
            <w:r w:rsidRPr="00DB388A">
              <w:rPr>
                <w:rFonts w:ascii="Times New Roman" w:hAnsi="Times New Roman" w:cs="Times New Roman"/>
              </w:rPr>
              <w:t xml:space="preserve">Pseudovirus NB.1.8.1 thể hiện khả năng </w:t>
            </w:r>
            <w:r>
              <w:rPr>
                <w:rFonts w:ascii="Times New Roman" w:hAnsi="Times New Roman" w:cs="Times New Roman"/>
                <w:lang w:val="en-US"/>
              </w:rPr>
              <w:t>trốn thoát</w:t>
            </w:r>
            <w:r w:rsidRPr="00DB388A">
              <w:rPr>
                <w:rFonts w:ascii="Times New Roman" w:hAnsi="Times New Roman" w:cs="Times New Roman"/>
              </w:rPr>
              <w:t xml:space="preserve"> </w:t>
            </w:r>
            <w:r>
              <w:rPr>
                <w:rFonts w:ascii="Times New Roman" w:hAnsi="Times New Roman" w:cs="Times New Roman"/>
                <w:lang w:val="en-US"/>
              </w:rPr>
              <w:t>miễn dịch</w:t>
            </w:r>
            <w:r w:rsidRPr="00DB388A">
              <w:rPr>
                <w:rFonts w:ascii="Times New Roman" w:hAnsi="Times New Roman" w:cs="Times New Roman"/>
              </w:rPr>
              <w:t xml:space="preserve"> đối với một số kháng thể đơn dòng trung hòa nhắm vào vùng RBD thuộc </w:t>
            </w:r>
            <w:r w:rsidR="00836A52">
              <w:rPr>
                <w:rFonts w:ascii="Times New Roman" w:hAnsi="Times New Roman" w:cs="Times New Roman"/>
                <w:lang w:val="en-US"/>
              </w:rPr>
              <w:t>loại</w:t>
            </w:r>
            <w:r w:rsidRPr="00DB388A">
              <w:rPr>
                <w:rFonts w:ascii="Times New Roman" w:hAnsi="Times New Roman" w:cs="Times New Roman"/>
              </w:rPr>
              <w:t xml:space="preserve"> 1/2 (nhiều khả năng do đột biến K478I trên protein </w:t>
            </w:r>
            <w:r>
              <w:rPr>
                <w:rFonts w:ascii="Times New Roman" w:hAnsi="Times New Roman" w:cs="Times New Roman"/>
                <w:lang w:val="en-US"/>
              </w:rPr>
              <w:t>gai</w:t>
            </w:r>
            <w:r w:rsidRPr="00DB388A">
              <w:rPr>
                <w:rFonts w:ascii="Times New Roman" w:hAnsi="Times New Roman" w:cs="Times New Roman"/>
              </w:rPr>
              <w:t xml:space="preserve">), trong khi đột biến A435S trên </w:t>
            </w:r>
            <w:r>
              <w:rPr>
                <w:rFonts w:ascii="Times New Roman" w:hAnsi="Times New Roman" w:cs="Times New Roman"/>
                <w:lang w:val="en-US"/>
              </w:rPr>
              <w:t>gai</w:t>
            </w:r>
            <w:r w:rsidRPr="00DB388A">
              <w:rPr>
                <w:rFonts w:ascii="Times New Roman" w:hAnsi="Times New Roman" w:cs="Times New Roman"/>
              </w:rPr>
              <w:t xml:space="preserve"> làm giảm hiệu lực trung hòa của kháng thể đơn dòng trên tất cả các </w:t>
            </w:r>
            <w:r>
              <w:rPr>
                <w:rFonts w:ascii="Times New Roman" w:hAnsi="Times New Roman" w:cs="Times New Roman"/>
                <w:lang w:val="en-US"/>
              </w:rPr>
              <w:t>quyết định kháng nguyên.</w:t>
            </w:r>
          </w:p>
        </w:tc>
        <w:tc>
          <w:tcPr>
            <w:tcW w:w="1417" w:type="dxa"/>
          </w:tcPr>
          <w:p w14:paraId="54D897DE" w14:textId="5BF78576" w:rsidR="00706D19" w:rsidRPr="005F03CA" w:rsidRDefault="006012D7" w:rsidP="00D1640C">
            <w:pPr>
              <w:jc w:val="both"/>
              <w:rPr>
                <w:rFonts w:ascii="Times New Roman" w:hAnsi="Times New Roman" w:cs="Times New Roman"/>
                <w:lang w:val="en-US"/>
              </w:rPr>
            </w:pPr>
            <w:r w:rsidRPr="005F03CA">
              <w:rPr>
                <w:rFonts w:ascii="Times New Roman" w:hAnsi="Times New Roman" w:cs="Times New Roman"/>
                <w:lang w:val="en-US"/>
              </w:rPr>
              <w:lastRenderedPageBreak/>
              <w:t>Thấp</w:t>
            </w:r>
          </w:p>
        </w:tc>
        <w:tc>
          <w:tcPr>
            <w:tcW w:w="1417" w:type="dxa"/>
          </w:tcPr>
          <w:p w14:paraId="1447039B" w14:textId="2830C0E8" w:rsidR="00706D19" w:rsidRPr="005F03CA" w:rsidRDefault="006012D7" w:rsidP="00D1640C">
            <w:pPr>
              <w:jc w:val="both"/>
              <w:rPr>
                <w:rFonts w:ascii="Times New Roman" w:hAnsi="Times New Roman" w:cs="Times New Roman"/>
                <w:lang w:val="en-US"/>
              </w:rPr>
            </w:pPr>
            <w:r w:rsidRPr="005F03CA">
              <w:rPr>
                <w:rFonts w:ascii="Times New Roman" w:hAnsi="Times New Roman" w:cs="Times New Roman"/>
                <w:lang w:val="en-US"/>
              </w:rPr>
              <w:t>Thấp</w:t>
            </w:r>
          </w:p>
        </w:tc>
      </w:tr>
      <w:tr w:rsidR="006012D7" w:rsidRPr="005F03CA" w14:paraId="07B79D8F" w14:textId="77777777" w:rsidTr="006012D7">
        <w:tc>
          <w:tcPr>
            <w:tcW w:w="1696" w:type="dxa"/>
          </w:tcPr>
          <w:p w14:paraId="0B0598E2" w14:textId="6477E368" w:rsidR="006012D7" w:rsidRPr="005F03CA" w:rsidRDefault="006012D7" w:rsidP="00D1640C">
            <w:pPr>
              <w:rPr>
                <w:rFonts w:ascii="Times New Roman" w:hAnsi="Times New Roman" w:cs="Times New Roman"/>
                <w:lang w:val="en-US"/>
              </w:rPr>
            </w:pPr>
            <w:r w:rsidRPr="005F03CA">
              <w:rPr>
                <w:rFonts w:ascii="Times New Roman" w:hAnsi="Times New Roman" w:cs="Times New Roman"/>
                <w:lang w:val="en-US"/>
              </w:rPr>
              <w:t xml:space="preserve">Độ nặng và các </w:t>
            </w:r>
            <w:r w:rsidR="00DB388A">
              <w:rPr>
                <w:rFonts w:ascii="Times New Roman" w:hAnsi="Times New Roman" w:cs="Times New Roman"/>
                <w:lang w:val="en-US"/>
              </w:rPr>
              <w:t>lưu ý về</w:t>
            </w:r>
            <w:r w:rsidRPr="005F03CA">
              <w:rPr>
                <w:rFonts w:ascii="Times New Roman" w:hAnsi="Times New Roman" w:cs="Times New Roman"/>
                <w:lang w:val="en-US"/>
              </w:rPr>
              <w:t xml:space="preserve"> lâm sàng/</w:t>
            </w:r>
            <w:r w:rsidR="00DB388A">
              <w:rPr>
                <w:rFonts w:ascii="Times New Roman" w:hAnsi="Times New Roman" w:cs="Times New Roman"/>
                <w:lang w:val="en-US"/>
              </w:rPr>
              <w:t xml:space="preserve"> </w:t>
            </w:r>
            <w:r w:rsidRPr="005F03CA">
              <w:rPr>
                <w:rFonts w:ascii="Times New Roman" w:hAnsi="Times New Roman" w:cs="Times New Roman"/>
                <w:lang w:val="en-US"/>
              </w:rPr>
              <w:t>chẩn đoán</w:t>
            </w:r>
          </w:p>
        </w:tc>
        <w:tc>
          <w:tcPr>
            <w:tcW w:w="4820" w:type="dxa"/>
          </w:tcPr>
          <w:p w14:paraId="181BFFBD" w14:textId="77777777" w:rsidR="009E6D06" w:rsidRPr="009E6D06" w:rsidRDefault="009E6D06" w:rsidP="009E6D06">
            <w:pPr>
              <w:jc w:val="both"/>
              <w:rPr>
                <w:rFonts w:ascii="Times New Roman" w:hAnsi="Times New Roman" w:cs="Times New Roman"/>
              </w:rPr>
            </w:pPr>
            <w:r w:rsidRPr="009E6D06">
              <w:rPr>
                <w:rFonts w:ascii="Times New Roman" w:hAnsi="Times New Roman" w:cs="Times New Roman"/>
              </w:rPr>
              <w:t>Hiện chưa có nghiên cứu được công bố hoặc báo cáo nào đánh giá tác động của NB.1.8.1 đến kết cục lâm sàng.</w:t>
            </w:r>
          </w:p>
          <w:p w14:paraId="052EB068" w14:textId="77777777" w:rsidR="009E6D06" w:rsidRPr="00A04012" w:rsidRDefault="009E6D06" w:rsidP="009E6D06">
            <w:pPr>
              <w:jc w:val="both"/>
              <w:rPr>
                <w:rFonts w:ascii="Times New Roman" w:hAnsi="Times New Roman" w:cs="Times New Roman"/>
                <w:sz w:val="14"/>
                <w:szCs w:val="14"/>
              </w:rPr>
            </w:pPr>
          </w:p>
          <w:p w14:paraId="6B3248D7" w14:textId="0D741C5F" w:rsidR="009E6D06" w:rsidRPr="009E6D06" w:rsidRDefault="009E6D06" w:rsidP="009E6D06">
            <w:pPr>
              <w:jc w:val="both"/>
              <w:rPr>
                <w:rFonts w:ascii="Times New Roman" w:hAnsi="Times New Roman" w:cs="Times New Roman"/>
              </w:rPr>
            </w:pPr>
            <w:r w:rsidRPr="009E6D06">
              <w:rPr>
                <w:rFonts w:ascii="Times New Roman" w:hAnsi="Times New Roman" w:cs="Times New Roman"/>
              </w:rPr>
              <w:t xml:space="preserve">Tỷ lệ phát hiện NB.1.8.1 đang gia tăng tại một số quốc gia thuộc khu vực Tây Thái Bình Dương (WPR), nơi đồng thời cũng ghi nhận số ca mắc và nhập viện liên quan đến SARS-CoV-2 tăng lên. Tuy nhiên, dữ liệu giám sát lâm sàng định kỳ không cho thấy dấu hiệu nào </w:t>
            </w:r>
            <w:r w:rsidR="00150B00">
              <w:rPr>
                <w:rFonts w:ascii="Times New Roman" w:hAnsi="Times New Roman" w:cs="Times New Roman"/>
                <w:lang w:val="en-US"/>
              </w:rPr>
              <w:t>thể hiện</w:t>
            </w:r>
            <w:r w:rsidRPr="009E6D06">
              <w:rPr>
                <w:rFonts w:ascii="Times New Roman" w:hAnsi="Times New Roman" w:cs="Times New Roman"/>
              </w:rPr>
              <w:t xml:space="preserve"> </w:t>
            </w:r>
            <w:r>
              <w:rPr>
                <w:rFonts w:ascii="Times New Roman" w:hAnsi="Times New Roman" w:cs="Times New Roman"/>
              </w:rPr>
              <w:t xml:space="preserve">độ nặng </w:t>
            </w:r>
            <w:r w:rsidRPr="009E6D06">
              <w:rPr>
                <w:rFonts w:ascii="Times New Roman" w:hAnsi="Times New Roman" w:cs="Times New Roman"/>
              </w:rPr>
              <w:t>của bệnh liên quan đến NB.1.8.1 cao hơn so với các biến thể đã lưu hành trước đó. Hiện không có bằng chứng cho thấy sự gia tăng ở các chỉ số như tỷ lệ nhập hồi sức tích cực (ICU) và tử vong do COVID-19 trên số ca nhập viện, hoặc tử vong do mọi nguyên nhân.</w:t>
            </w:r>
          </w:p>
          <w:p w14:paraId="03214FC1" w14:textId="77777777" w:rsidR="009E6D06" w:rsidRPr="00BF18CD" w:rsidRDefault="009E6D06" w:rsidP="009E6D06">
            <w:pPr>
              <w:jc w:val="both"/>
              <w:rPr>
                <w:rFonts w:ascii="Times New Roman" w:hAnsi="Times New Roman" w:cs="Times New Roman"/>
                <w:sz w:val="16"/>
                <w:szCs w:val="16"/>
              </w:rPr>
            </w:pPr>
          </w:p>
          <w:p w14:paraId="2FFD451A" w14:textId="3220A34A" w:rsidR="009E6D06" w:rsidRPr="009E6D06" w:rsidRDefault="009E6D06" w:rsidP="009E6D06">
            <w:pPr>
              <w:jc w:val="both"/>
              <w:rPr>
                <w:rFonts w:ascii="Times New Roman" w:hAnsi="Times New Roman" w:cs="Times New Roman"/>
                <w:lang w:val="en-US"/>
              </w:rPr>
            </w:pPr>
            <w:r w:rsidRPr="009E6D06">
              <w:rPr>
                <w:rFonts w:ascii="Times New Roman" w:hAnsi="Times New Roman" w:cs="Times New Roman"/>
              </w:rPr>
              <w:t xml:space="preserve">NB.1.8.1 không mang thêm đột biến tại vùng </w:t>
            </w:r>
            <w:r>
              <w:rPr>
                <w:rFonts w:ascii="Times New Roman" w:hAnsi="Times New Roman" w:cs="Times New Roman"/>
                <w:lang w:val="en-US"/>
              </w:rPr>
              <w:t>enzym phân giải protein (protease)</w:t>
            </w:r>
            <w:r w:rsidRPr="009E6D06">
              <w:rPr>
                <w:rFonts w:ascii="Times New Roman" w:hAnsi="Times New Roman" w:cs="Times New Roman"/>
              </w:rPr>
              <w:t xml:space="preserve"> so với các biến thể XBB.1.16.1, EG.5.1.3 và BA.2.86.1, do đó không có khả năng làm tăng khả năng kháng với thuốc Nirmatrelvir so với các biến thể này</w:t>
            </w:r>
            <w:r>
              <w:rPr>
                <w:rFonts w:ascii="Times New Roman" w:hAnsi="Times New Roman" w:cs="Times New Roman"/>
                <w:lang w:val="en-US"/>
              </w:rPr>
              <w:t>.</w:t>
            </w:r>
          </w:p>
          <w:p w14:paraId="2250D3CF" w14:textId="77777777" w:rsidR="009E6D06" w:rsidRPr="00A04012" w:rsidRDefault="009E6D06" w:rsidP="009E6D06">
            <w:pPr>
              <w:jc w:val="both"/>
              <w:rPr>
                <w:rFonts w:ascii="Times New Roman" w:hAnsi="Times New Roman" w:cs="Times New Roman"/>
                <w:sz w:val="16"/>
                <w:szCs w:val="16"/>
              </w:rPr>
            </w:pPr>
          </w:p>
          <w:p w14:paraId="70C6BE8F" w14:textId="0F43D9D8" w:rsidR="006012D7" w:rsidRPr="005F03CA" w:rsidRDefault="009E6D06" w:rsidP="009E6D06">
            <w:pPr>
              <w:jc w:val="both"/>
              <w:rPr>
                <w:rFonts w:ascii="Times New Roman" w:hAnsi="Times New Roman" w:cs="Times New Roman"/>
              </w:rPr>
            </w:pPr>
            <w:r w:rsidRPr="009E6D06">
              <w:rPr>
                <w:rFonts w:ascii="Times New Roman" w:hAnsi="Times New Roman" w:cs="Times New Roman"/>
              </w:rPr>
              <w:t xml:space="preserve">NB.1.8.1 mang đột biến D284Y trên enzym polymerase Nsp12 (Orf1b: D275Y); tác động tiềm </w:t>
            </w:r>
            <w:r>
              <w:rPr>
                <w:rFonts w:ascii="Times New Roman" w:hAnsi="Times New Roman" w:cs="Times New Roman"/>
              </w:rPr>
              <w:t>t</w:t>
            </w:r>
            <w:r>
              <w:rPr>
                <w:rFonts w:ascii="Times New Roman" w:hAnsi="Times New Roman" w:cs="Times New Roman"/>
                <w:lang w:val="en-US"/>
              </w:rPr>
              <w:t>àng</w:t>
            </w:r>
            <w:r w:rsidRPr="009E6D06">
              <w:rPr>
                <w:rFonts w:ascii="Times New Roman" w:hAnsi="Times New Roman" w:cs="Times New Roman"/>
              </w:rPr>
              <w:t xml:space="preserve"> của đột biến này đến hiệu lực của thuốc remdesivir và molnupiravir hiện chưa được đánh giá.</w:t>
            </w:r>
          </w:p>
        </w:tc>
        <w:tc>
          <w:tcPr>
            <w:tcW w:w="1417" w:type="dxa"/>
          </w:tcPr>
          <w:p w14:paraId="13897774" w14:textId="74DABF70" w:rsidR="006012D7" w:rsidRPr="005F03CA" w:rsidRDefault="006012D7" w:rsidP="00D1640C">
            <w:pPr>
              <w:jc w:val="both"/>
              <w:rPr>
                <w:rFonts w:ascii="Times New Roman" w:hAnsi="Times New Roman" w:cs="Times New Roman"/>
                <w:lang w:val="en-US"/>
              </w:rPr>
            </w:pPr>
            <w:r w:rsidRPr="005F03CA">
              <w:rPr>
                <w:rFonts w:ascii="Times New Roman" w:hAnsi="Times New Roman" w:cs="Times New Roman"/>
                <w:lang w:val="en-US"/>
              </w:rPr>
              <w:t>Thấp</w:t>
            </w:r>
          </w:p>
        </w:tc>
        <w:tc>
          <w:tcPr>
            <w:tcW w:w="1417" w:type="dxa"/>
          </w:tcPr>
          <w:p w14:paraId="1BB8483A" w14:textId="0E2D7814" w:rsidR="006012D7" w:rsidRPr="005F03CA" w:rsidRDefault="006012D7" w:rsidP="00D1640C">
            <w:pPr>
              <w:jc w:val="both"/>
              <w:rPr>
                <w:rFonts w:ascii="Times New Roman" w:hAnsi="Times New Roman" w:cs="Times New Roman"/>
                <w:lang w:val="en-US"/>
              </w:rPr>
            </w:pPr>
            <w:r w:rsidRPr="005F03CA">
              <w:rPr>
                <w:rFonts w:ascii="Times New Roman" w:hAnsi="Times New Roman" w:cs="Times New Roman"/>
                <w:lang w:val="en-US"/>
              </w:rPr>
              <w:t>Thấp</w:t>
            </w:r>
          </w:p>
        </w:tc>
      </w:tr>
    </w:tbl>
    <w:p w14:paraId="78C500F0" w14:textId="77777777" w:rsidR="00706D19" w:rsidRPr="005F03CA" w:rsidRDefault="00706D19" w:rsidP="00D1640C">
      <w:pPr>
        <w:spacing w:after="0" w:line="240" w:lineRule="auto"/>
        <w:jc w:val="both"/>
        <w:rPr>
          <w:rFonts w:ascii="Times New Roman" w:hAnsi="Times New Roman" w:cs="Times New Roman"/>
          <w:lang w:val="en-US"/>
        </w:rPr>
      </w:pPr>
    </w:p>
    <w:sectPr w:rsidR="00706D19" w:rsidRPr="005F03CA" w:rsidSect="00B70029">
      <w:pgSz w:w="12240" w:h="15840" w:code="1"/>
      <w:pgMar w:top="1134" w:right="124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5178"/>
    <w:multiLevelType w:val="hybridMultilevel"/>
    <w:tmpl w:val="772E99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31658BA"/>
    <w:multiLevelType w:val="hybridMultilevel"/>
    <w:tmpl w:val="32BA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630E87"/>
    <w:multiLevelType w:val="hybridMultilevel"/>
    <w:tmpl w:val="0C5EBD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7FD260D6"/>
    <w:multiLevelType w:val="multilevel"/>
    <w:tmpl w:val="8106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4081128">
    <w:abstractNumId w:val="1"/>
  </w:num>
  <w:num w:numId="2" w16cid:durableId="1722250356">
    <w:abstractNumId w:val="3"/>
  </w:num>
  <w:num w:numId="3" w16cid:durableId="1945725213">
    <w:abstractNumId w:val="2"/>
  </w:num>
  <w:num w:numId="4" w16cid:durableId="628361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B95"/>
    <w:rsid w:val="00013FC2"/>
    <w:rsid w:val="00014682"/>
    <w:rsid w:val="0003239D"/>
    <w:rsid w:val="00052C74"/>
    <w:rsid w:val="000A2AF7"/>
    <w:rsid w:val="000A3329"/>
    <w:rsid w:val="000A5211"/>
    <w:rsid w:val="000D641E"/>
    <w:rsid w:val="000E6402"/>
    <w:rsid w:val="000F3314"/>
    <w:rsid w:val="000F370D"/>
    <w:rsid w:val="000F6F98"/>
    <w:rsid w:val="0010304C"/>
    <w:rsid w:val="00110912"/>
    <w:rsid w:val="001137B4"/>
    <w:rsid w:val="00115949"/>
    <w:rsid w:val="00136329"/>
    <w:rsid w:val="001459AB"/>
    <w:rsid w:val="00150B00"/>
    <w:rsid w:val="001553F8"/>
    <w:rsid w:val="0016160F"/>
    <w:rsid w:val="00163F9A"/>
    <w:rsid w:val="00172239"/>
    <w:rsid w:val="0017340F"/>
    <w:rsid w:val="001A33DC"/>
    <w:rsid w:val="001B5080"/>
    <w:rsid w:val="001D1D25"/>
    <w:rsid w:val="001D748E"/>
    <w:rsid w:val="001D78B0"/>
    <w:rsid w:val="001E0AB0"/>
    <w:rsid w:val="001E215F"/>
    <w:rsid w:val="00206C8E"/>
    <w:rsid w:val="00235366"/>
    <w:rsid w:val="002564E8"/>
    <w:rsid w:val="002911D7"/>
    <w:rsid w:val="002943D1"/>
    <w:rsid w:val="00295A90"/>
    <w:rsid w:val="002A431B"/>
    <w:rsid w:val="002A4786"/>
    <w:rsid w:val="002E6943"/>
    <w:rsid w:val="0030064D"/>
    <w:rsid w:val="003038D1"/>
    <w:rsid w:val="003236AD"/>
    <w:rsid w:val="00363A74"/>
    <w:rsid w:val="003734AB"/>
    <w:rsid w:val="0038782A"/>
    <w:rsid w:val="003D0E6B"/>
    <w:rsid w:val="003D6338"/>
    <w:rsid w:val="003D7950"/>
    <w:rsid w:val="003E7CE6"/>
    <w:rsid w:val="003F1A63"/>
    <w:rsid w:val="003F5CFE"/>
    <w:rsid w:val="00403AB9"/>
    <w:rsid w:val="00440DD1"/>
    <w:rsid w:val="00443521"/>
    <w:rsid w:val="00447EE3"/>
    <w:rsid w:val="00450446"/>
    <w:rsid w:val="00451F50"/>
    <w:rsid w:val="0048719F"/>
    <w:rsid w:val="004B1B95"/>
    <w:rsid w:val="004B6E7C"/>
    <w:rsid w:val="004C07A8"/>
    <w:rsid w:val="004E0626"/>
    <w:rsid w:val="004E3DC3"/>
    <w:rsid w:val="004F071A"/>
    <w:rsid w:val="004F0BB9"/>
    <w:rsid w:val="004F701C"/>
    <w:rsid w:val="005008CD"/>
    <w:rsid w:val="0050366B"/>
    <w:rsid w:val="00515F7D"/>
    <w:rsid w:val="00543236"/>
    <w:rsid w:val="00543902"/>
    <w:rsid w:val="005472BD"/>
    <w:rsid w:val="00551768"/>
    <w:rsid w:val="00577E33"/>
    <w:rsid w:val="00581187"/>
    <w:rsid w:val="00592B69"/>
    <w:rsid w:val="005A2089"/>
    <w:rsid w:val="005A24D2"/>
    <w:rsid w:val="005B3A9D"/>
    <w:rsid w:val="005B3E46"/>
    <w:rsid w:val="005B6B15"/>
    <w:rsid w:val="005D5414"/>
    <w:rsid w:val="005E3584"/>
    <w:rsid w:val="005F03CA"/>
    <w:rsid w:val="006012D7"/>
    <w:rsid w:val="006019E3"/>
    <w:rsid w:val="00611D41"/>
    <w:rsid w:val="00613105"/>
    <w:rsid w:val="00613DA9"/>
    <w:rsid w:val="006303FF"/>
    <w:rsid w:val="00632A11"/>
    <w:rsid w:val="00633268"/>
    <w:rsid w:val="006468B9"/>
    <w:rsid w:val="00657691"/>
    <w:rsid w:val="006B37FE"/>
    <w:rsid w:val="006E7448"/>
    <w:rsid w:val="007011E6"/>
    <w:rsid w:val="00706D19"/>
    <w:rsid w:val="00714AC5"/>
    <w:rsid w:val="00720483"/>
    <w:rsid w:val="00726C33"/>
    <w:rsid w:val="007576EC"/>
    <w:rsid w:val="00761509"/>
    <w:rsid w:val="0077010C"/>
    <w:rsid w:val="00771843"/>
    <w:rsid w:val="007718B8"/>
    <w:rsid w:val="00771D3D"/>
    <w:rsid w:val="007B1C5B"/>
    <w:rsid w:val="007D39C5"/>
    <w:rsid w:val="007D567A"/>
    <w:rsid w:val="007E0B27"/>
    <w:rsid w:val="00820D44"/>
    <w:rsid w:val="0083060B"/>
    <w:rsid w:val="00836A52"/>
    <w:rsid w:val="00894DA5"/>
    <w:rsid w:val="008B4C39"/>
    <w:rsid w:val="008B7D4C"/>
    <w:rsid w:val="008F50CF"/>
    <w:rsid w:val="008F56F2"/>
    <w:rsid w:val="008F5ADB"/>
    <w:rsid w:val="0090124E"/>
    <w:rsid w:val="00910D2E"/>
    <w:rsid w:val="00913A97"/>
    <w:rsid w:val="009256B4"/>
    <w:rsid w:val="0092613B"/>
    <w:rsid w:val="009333A2"/>
    <w:rsid w:val="00951858"/>
    <w:rsid w:val="00966F22"/>
    <w:rsid w:val="00981EDF"/>
    <w:rsid w:val="009827E1"/>
    <w:rsid w:val="00994494"/>
    <w:rsid w:val="009A3547"/>
    <w:rsid w:val="009A7C34"/>
    <w:rsid w:val="009B7178"/>
    <w:rsid w:val="009E0A85"/>
    <w:rsid w:val="009E6D06"/>
    <w:rsid w:val="009F4891"/>
    <w:rsid w:val="009F61C9"/>
    <w:rsid w:val="00A04012"/>
    <w:rsid w:val="00A12C61"/>
    <w:rsid w:val="00A1514C"/>
    <w:rsid w:val="00A2582F"/>
    <w:rsid w:val="00A30639"/>
    <w:rsid w:val="00A40169"/>
    <w:rsid w:val="00A516D5"/>
    <w:rsid w:val="00A672E1"/>
    <w:rsid w:val="00A91C40"/>
    <w:rsid w:val="00AA4C38"/>
    <w:rsid w:val="00AB1BDC"/>
    <w:rsid w:val="00AB33BB"/>
    <w:rsid w:val="00AB6ECB"/>
    <w:rsid w:val="00AC0CCC"/>
    <w:rsid w:val="00AE266C"/>
    <w:rsid w:val="00B21C57"/>
    <w:rsid w:val="00B22708"/>
    <w:rsid w:val="00B27531"/>
    <w:rsid w:val="00B353A2"/>
    <w:rsid w:val="00B4162E"/>
    <w:rsid w:val="00B6606F"/>
    <w:rsid w:val="00B70029"/>
    <w:rsid w:val="00B83C66"/>
    <w:rsid w:val="00B878B1"/>
    <w:rsid w:val="00B91898"/>
    <w:rsid w:val="00BA3E37"/>
    <w:rsid w:val="00BB206E"/>
    <w:rsid w:val="00BB29E8"/>
    <w:rsid w:val="00BB3E9B"/>
    <w:rsid w:val="00BB70CC"/>
    <w:rsid w:val="00BC3F1E"/>
    <w:rsid w:val="00BC4B1E"/>
    <w:rsid w:val="00BE0900"/>
    <w:rsid w:val="00BE144B"/>
    <w:rsid w:val="00BF067C"/>
    <w:rsid w:val="00BF18CD"/>
    <w:rsid w:val="00BF217F"/>
    <w:rsid w:val="00BF41DE"/>
    <w:rsid w:val="00BF5AE8"/>
    <w:rsid w:val="00C113FF"/>
    <w:rsid w:val="00C210E6"/>
    <w:rsid w:val="00C26B06"/>
    <w:rsid w:val="00C5186D"/>
    <w:rsid w:val="00C76BB8"/>
    <w:rsid w:val="00C858AE"/>
    <w:rsid w:val="00C876E1"/>
    <w:rsid w:val="00C96973"/>
    <w:rsid w:val="00CA34B8"/>
    <w:rsid w:val="00CB7DBA"/>
    <w:rsid w:val="00CC4C3E"/>
    <w:rsid w:val="00CD2AF5"/>
    <w:rsid w:val="00D1640C"/>
    <w:rsid w:val="00D31174"/>
    <w:rsid w:val="00D36AEF"/>
    <w:rsid w:val="00D41C87"/>
    <w:rsid w:val="00D54E97"/>
    <w:rsid w:val="00DA7CA6"/>
    <w:rsid w:val="00DB388A"/>
    <w:rsid w:val="00DC0617"/>
    <w:rsid w:val="00DD52C3"/>
    <w:rsid w:val="00DD5758"/>
    <w:rsid w:val="00DD74B1"/>
    <w:rsid w:val="00DD7C1B"/>
    <w:rsid w:val="00DE0202"/>
    <w:rsid w:val="00DE7579"/>
    <w:rsid w:val="00DF1E2F"/>
    <w:rsid w:val="00DF7F75"/>
    <w:rsid w:val="00E317D3"/>
    <w:rsid w:val="00E42EF8"/>
    <w:rsid w:val="00E47078"/>
    <w:rsid w:val="00E54813"/>
    <w:rsid w:val="00E625E3"/>
    <w:rsid w:val="00E83613"/>
    <w:rsid w:val="00E90185"/>
    <w:rsid w:val="00E902DE"/>
    <w:rsid w:val="00E91DA9"/>
    <w:rsid w:val="00EA66B7"/>
    <w:rsid w:val="00EF43A5"/>
    <w:rsid w:val="00F121A7"/>
    <w:rsid w:val="00F40C4E"/>
    <w:rsid w:val="00F5650D"/>
    <w:rsid w:val="00F717F8"/>
    <w:rsid w:val="00F848D4"/>
    <w:rsid w:val="00F86538"/>
    <w:rsid w:val="00F95D3E"/>
    <w:rsid w:val="00FB3034"/>
    <w:rsid w:val="00FB74DD"/>
    <w:rsid w:val="00FE28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9AA8"/>
  <w15:chartTrackingRefBased/>
  <w15:docId w15:val="{472F0079-63A7-C34C-BE86-50AD7BAD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EDF"/>
  </w:style>
  <w:style w:type="paragraph" w:styleId="Heading1">
    <w:name w:val="heading 1"/>
    <w:basedOn w:val="Normal"/>
    <w:next w:val="Normal"/>
    <w:link w:val="Heading1Char"/>
    <w:uiPriority w:val="9"/>
    <w:qFormat/>
    <w:rsid w:val="004B1B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1B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1B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1B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1B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1B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B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B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B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B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1B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1B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1B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1B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1B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B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B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B95"/>
    <w:rPr>
      <w:rFonts w:eastAsiaTheme="majorEastAsia" w:cstheme="majorBidi"/>
      <w:color w:val="272727" w:themeColor="text1" w:themeTint="D8"/>
    </w:rPr>
  </w:style>
  <w:style w:type="paragraph" w:styleId="Title">
    <w:name w:val="Title"/>
    <w:basedOn w:val="Normal"/>
    <w:next w:val="Normal"/>
    <w:link w:val="TitleChar"/>
    <w:uiPriority w:val="10"/>
    <w:qFormat/>
    <w:rsid w:val="004B1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B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B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B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B95"/>
    <w:pPr>
      <w:spacing w:before="160"/>
      <w:jc w:val="center"/>
    </w:pPr>
    <w:rPr>
      <w:i/>
      <w:iCs/>
      <w:color w:val="404040" w:themeColor="text1" w:themeTint="BF"/>
    </w:rPr>
  </w:style>
  <w:style w:type="character" w:customStyle="1" w:styleId="QuoteChar">
    <w:name w:val="Quote Char"/>
    <w:basedOn w:val="DefaultParagraphFont"/>
    <w:link w:val="Quote"/>
    <w:uiPriority w:val="29"/>
    <w:rsid w:val="004B1B95"/>
    <w:rPr>
      <w:i/>
      <w:iCs/>
      <w:color w:val="404040" w:themeColor="text1" w:themeTint="BF"/>
    </w:rPr>
  </w:style>
  <w:style w:type="paragraph" w:styleId="ListParagraph">
    <w:name w:val="List Paragraph"/>
    <w:basedOn w:val="Normal"/>
    <w:uiPriority w:val="34"/>
    <w:qFormat/>
    <w:rsid w:val="004B1B95"/>
    <w:pPr>
      <w:ind w:left="720"/>
      <w:contextualSpacing/>
    </w:pPr>
  </w:style>
  <w:style w:type="character" w:styleId="IntenseEmphasis">
    <w:name w:val="Intense Emphasis"/>
    <w:basedOn w:val="DefaultParagraphFont"/>
    <w:uiPriority w:val="21"/>
    <w:qFormat/>
    <w:rsid w:val="004B1B95"/>
    <w:rPr>
      <w:i/>
      <w:iCs/>
      <w:color w:val="2F5496" w:themeColor="accent1" w:themeShade="BF"/>
    </w:rPr>
  </w:style>
  <w:style w:type="paragraph" w:styleId="IntenseQuote">
    <w:name w:val="Intense Quote"/>
    <w:basedOn w:val="Normal"/>
    <w:next w:val="Normal"/>
    <w:link w:val="IntenseQuoteChar"/>
    <w:uiPriority w:val="30"/>
    <w:qFormat/>
    <w:rsid w:val="004B1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1B95"/>
    <w:rPr>
      <w:i/>
      <w:iCs/>
      <w:color w:val="2F5496" w:themeColor="accent1" w:themeShade="BF"/>
    </w:rPr>
  </w:style>
  <w:style w:type="character" w:styleId="IntenseReference">
    <w:name w:val="Intense Reference"/>
    <w:basedOn w:val="DefaultParagraphFont"/>
    <w:uiPriority w:val="32"/>
    <w:qFormat/>
    <w:rsid w:val="004B1B95"/>
    <w:rPr>
      <w:b/>
      <w:bCs/>
      <w:smallCaps/>
      <w:color w:val="2F5496" w:themeColor="accent1" w:themeShade="BF"/>
      <w:spacing w:val="5"/>
    </w:rPr>
  </w:style>
  <w:style w:type="table" w:styleId="TableGrid">
    <w:name w:val="Table Grid"/>
    <w:basedOn w:val="TableNormal"/>
    <w:uiPriority w:val="39"/>
    <w:rsid w:val="00613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E0A85"/>
    <w:pPr>
      <w:spacing w:after="200" w:line="240" w:lineRule="auto"/>
    </w:pPr>
    <w:rPr>
      <w:i/>
      <w:iCs/>
      <w:color w:val="44546A" w:themeColor="text2"/>
      <w:sz w:val="18"/>
      <w:szCs w:val="18"/>
    </w:rPr>
  </w:style>
  <w:style w:type="paragraph" w:styleId="NormalWeb">
    <w:name w:val="Normal (Web)"/>
    <w:basedOn w:val="Normal"/>
    <w:uiPriority w:val="99"/>
    <w:unhideWhenUsed/>
    <w:rsid w:val="006012D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323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4187">
      <w:bodyDiv w:val="1"/>
      <w:marLeft w:val="0"/>
      <w:marRight w:val="0"/>
      <w:marTop w:val="0"/>
      <w:marBottom w:val="0"/>
      <w:divBdr>
        <w:top w:val="none" w:sz="0" w:space="0" w:color="auto"/>
        <w:left w:val="none" w:sz="0" w:space="0" w:color="auto"/>
        <w:bottom w:val="none" w:sz="0" w:space="0" w:color="auto"/>
        <w:right w:val="none" w:sz="0" w:space="0" w:color="auto"/>
      </w:divBdr>
    </w:div>
    <w:div w:id="153838990">
      <w:bodyDiv w:val="1"/>
      <w:marLeft w:val="0"/>
      <w:marRight w:val="0"/>
      <w:marTop w:val="0"/>
      <w:marBottom w:val="0"/>
      <w:divBdr>
        <w:top w:val="none" w:sz="0" w:space="0" w:color="auto"/>
        <w:left w:val="none" w:sz="0" w:space="0" w:color="auto"/>
        <w:bottom w:val="none" w:sz="0" w:space="0" w:color="auto"/>
        <w:right w:val="none" w:sz="0" w:space="0" w:color="auto"/>
      </w:divBdr>
    </w:div>
    <w:div w:id="199514736">
      <w:bodyDiv w:val="1"/>
      <w:marLeft w:val="0"/>
      <w:marRight w:val="0"/>
      <w:marTop w:val="0"/>
      <w:marBottom w:val="0"/>
      <w:divBdr>
        <w:top w:val="none" w:sz="0" w:space="0" w:color="auto"/>
        <w:left w:val="none" w:sz="0" w:space="0" w:color="auto"/>
        <w:bottom w:val="none" w:sz="0" w:space="0" w:color="auto"/>
        <w:right w:val="none" w:sz="0" w:space="0" w:color="auto"/>
      </w:divBdr>
    </w:div>
    <w:div w:id="331952577">
      <w:bodyDiv w:val="1"/>
      <w:marLeft w:val="0"/>
      <w:marRight w:val="0"/>
      <w:marTop w:val="0"/>
      <w:marBottom w:val="0"/>
      <w:divBdr>
        <w:top w:val="none" w:sz="0" w:space="0" w:color="auto"/>
        <w:left w:val="none" w:sz="0" w:space="0" w:color="auto"/>
        <w:bottom w:val="none" w:sz="0" w:space="0" w:color="auto"/>
        <w:right w:val="none" w:sz="0" w:space="0" w:color="auto"/>
      </w:divBdr>
    </w:div>
    <w:div w:id="406152144">
      <w:bodyDiv w:val="1"/>
      <w:marLeft w:val="0"/>
      <w:marRight w:val="0"/>
      <w:marTop w:val="0"/>
      <w:marBottom w:val="0"/>
      <w:divBdr>
        <w:top w:val="none" w:sz="0" w:space="0" w:color="auto"/>
        <w:left w:val="none" w:sz="0" w:space="0" w:color="auto"/>
        <w:bottom w:val="none" w:sz="0" w:space="0" w:color="auto"/>
        <w:right w:val="none" w:sz="0" w:space="0" w:color="auto"/>
      </w:divBdr>
      <w:divsChild>
        <w:div w:id="1833061115">
          <w:marLeft w:val="0"/>
          <w:marRight w:val="0"/>
          <w:marTop w:val="0"/>
          <w:marBottom w:val="0"/>
          <w:divBdr>
            <w:top w:val="none" w:sz="0" w:space="0" w:color="auto"/>
            <w:left w:val="none" w:sz="0" w:space="0" w:color="auto"/>
            <w:bottom w:val="none" w:sz="0" w:space="0" w:color="auto"/>
            <w:right w:val="none" w:sz="0" w:space="0" w:color="auto"/>
          </w:divBdr>
          <w:divsChild>
            <w:div w:id="335305864">
              <w:marLeft w:val="0"/>
              <w:marRight w:val="0"/>
              <w:marTop w:val="0"/>
              <w:marBottom w:val="0"/>
              <w:divBdr>
                <w:top w:val="none" w:sz="0" w:space="0" w:color="auto"/>
                <w:left w:val="none" w:sz="0" w:space="0" w:color="auto"/>
                <w:bottom w:val="none" w:sz="0" w:space="0" w:color="auto"/>
                <w:right w:val="none" w:sz="0" w:space="0" w:color="auto"/>
              </w:divBdr>
              <w:divsChild>
                <w:div w:id="69087653">
                  <w:marLeft w:val="0"/>
                  <w:marRight w:val="0"/>
                  <w:marTop w:val="0"/>
                  <w:marBottom w:val="0"/>
                  <w:divBdr>
                    <w:top w:val="none" w:sz="0" w:space="0" w:color="auto"/>
                    <w:left w:val="none" w:sz="0" w:space="0" w:color="auto"/>
                    <w:bottom w:val="none" w:sz="0" w:space="0" w:color="auto"/>
                    <w:right w:val="none" w:sz="0" w:space="0" w:color="auto"/>
                  </w:divBdr>
                  <w:divsChild>
                    <w:div w:id="3678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342566">
      <w:bodyDiv w:val="1"/>
      <w:marLeft w:val="0"/>
      <w:marRight w:val="0"/>
      <w:marTop w:val="0"/>
      <w:marBottom w:val="0"/>
      <w:divBdr>
        <w:top w:val="none" w:sz="0" w:space="0" w:color="auto"/>
        <w:left w:val="none" w:sz="0" w:space="0" w:color="auto"/>
        <w:bottom w:val="none" w:sz="0" w:space="0" w:color="auto"/>
        <w:right w:val="none" w:sz="0" w:space="0" w:color="auto"/>
      </w:divBdr>
      <w:divsChild>
        <w:div w:id="1494878973">
          <w:marLeft w:val="0"/>
          <w:marRight w:val="0"/>
          <w:marTop w:val="0"/>
          <w:marBottom w:val="0"/>
          <w:divBdr>
            <w:top w:val="none" w:sz="0" w:space="0" w:color="auto"/>
            <w:left w:val="none" w:sz="0" w:space="0" w:color="auto"/>
            <w:bottom w:val="none" w:sz="0" w:space="0" w:color="auto"/>
            <w:right w:val="none" w:sz="0" w:space="0" w:color="auto"/>
          </w:divBdr>
          <w:divsChild>
            <w:div w:id="1631785500">
              <w:marLeft w:val="0"/>
              <w:marRight w:val="0"/>
              <w:marTop w:val="0"/>
              <w:marBottom w:val="0"/>
              <w:divBdr>
                <w:top w:val="none" w:sz="0" w:space="0" w:color="auto"/>
                <w:left w:val="none" w:sz="0" w:space="0" w:color="auto"/>
                <w:bottom w:val="none" w:sz="0" w:space="0" w:color="auto"/>
                <w:right w:val="none" w:sz="0" w:space="0" w:color="auto"/>
              </w:divBdr>
              <w:divsChild>
                <w:div w:id="324355860">
                  <w:marLeft w:val="0"/>
                  <w:marRight w:val="0"/>
                  <w:marTop w:val="0"/>
                  <w:marBottom w:val="0"/>
                  <w:divBdr>
                    <w:top w:val="none" w:sz="0" w:space="0" w:color="auto"/>
                    <w:left w:val="none" w:sz="0" w:space="0" w:color="auto"/>
                    <w:bottom w:val="none" w:sz="0" w:space="0" w:color="auto"/>
                    <w:right w:val="none" w:sz="0" w:space="0" w:color="auto"/>
                  </w:divBdr>
                  <w:divsChild>
                    <w:div w:id="9163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947453">
      <w:bodyDiv w:val="1"/>
      <w:marLeft w:val="0"/>
      <w:marRight w:val="0"/>
      <w:marTop w:val="0"/>
      <w:marBottom w:val="0"/>
      <w:divBdr>
        <w:top w:val="none" w:sz="0" w:space="0" w:color="auto"/>
        <w:left w:val="none" w:sz="0" w:space="0" w:color="auto"/>
        <w:bottom w:val="none" w:sz="0" w:space="0" w:color="auto"/>
        <w:right w:val="none" w:sz="0" w:space="0" w:color="auto"/>
      </w:divBdr>
    </w:div>
    <w:div w:id="881015537">
      <w:bodyDiv w:val="1"/>
      <w:marLeft w:val="0"/>
      <w:marRight w:val="0"/>
      <w:marTop w:val="0"/>
      <w:marBottom w:val="0"/>
      <w:divBdr>
        <w:top w:val="none" w:sz="0" w:space="0" w:color="auto"/>
        <w:left w:val="none" w:sz="0" w:space="0" w:color="auto"/>
        <w:bottom w:val="none" w:sz="0" w:space="0" w:color="auto"/>
        <w:right w:val="none" w:sz="0" w:space="0" w:color="auto"/>
      </w:divBdr>
    </w:div>
    <w:div w:id="1037320561">
      <w:bodyDiv w:val="1"/>
      <w:marLeft w:val="0"/>
      <w:marRight w:val="0"/>
      <w:marTop w:val="0"/>
      <w:marBottom w:val="0"/>
      <w:divBdr>
        <w:top w:val="none" w:sz="0" w:space="0" w:color="auto"/>
        <w:left w:val="none" w:sz="0" w:space="0" w:color="auto"/>
        <w:bottom w:val="none" w:sz="0" w:space="0" w:color="auto"/>
        <w:right w:val="none" w:sz="0" w:space="0" w:color="auto"/>
      </w:divBdr>
    </w:div>
    <w:div w:id="1206720524">
      <w:bodyDiv w:val="1"/>
      <w:marLeft w:val="0"/>
      <w:marRight w:val="0"/>
      <w:marTop w:val="0"/>
      <w:marBottom w:val="0"/>
      <w:divBdr>
        <w:top w:val="none" w:sz="0" w:space="0" w:color="auto"/>
        <w:left w:val="none" w:sz="0" w:space="0" w:color="auto"/>
        <w:bottom w:val="none" w:sz="0" w:space="0" w:color="auto"/>
        <w:right w:val="none" w:sz="0" w:space="0" w:color="auto"/>
      </w:divBdr>
    </w:div>
    <w:div w:id="1242906822">
      <w:bodyDiv w:val="1"/>
      <w:marLeft w:val="0"/>
      <w:marRight w:val="0"/>
      <w:marTop w:val="0"/>
      <w:marBottom w:val="0"/>
      <w:divBdr>
        <w:top w:val="none" w:sz="0" w:space="0" w:color="auto"/>
        <w:left w:val="none" w:sz="0" w:space="0" w:color="auto"/>
        <w:bottom w:val="none" w:sz="0" w:space="0" w:color="auto"/>
        <w:right w:val="none" w:sz="0" w:space="0" w:color="auto"/>
      </w:divBdr>
    </w:div>
    <w:div w:id="1329137211">
      <w:bodyDiv w:val="1"/>
      <w:marLeft w:val="0"/>
      <w:marRight w:val="0"/>
      <w:marTop w:val="0"/>
      <w:marBottom w:val="0"/>
      <w:divBdr>
        <w:top w:val="none" w:sz="0" w:space="0" w:color="auto"/>
        <w:left w:val="none" w:sz="0" w:space="0" w:color="auto"/>
        <w:bottom w:val="none" w:sz="0" w:space="0" w:color="auto"/>
        <w:right w:val="none" w:sz="0" w:space="0" w:color="auto"/>
      </w:divBdr>
    </w:div>
    <w:div w:id="1357385528">
      <w:bodyDiv w:val="1"/>
      <w:marLeft w:val="0"/>
      <w:marRight w:val="0"/>
      <w:marTop w:val="0"/>
      <w:marBottom w:val="0"/>
      <w:divBdr>
        <w:top w:val="none" w:sz="0" w:space="0" w:color="auto"/>
        <w:left w:val="none" w:sz="0" w:space="0" w:color="auto"/>
        <w:bottom w:val="none" w:sz="0" w:space="0" w:color="auto"/>
        <w:right w:val="none" w:sz="0" w:space="0" w:color="auto"/>
      </w:divBdr>
    </w:div>
    <w:div w:id="1404717725">
      <w:bodyDiv w:val="1"/>
      <w:marLeft w:val="0"/>
      <w:marRight w:val="0"/>
      <w:marTop w:val="0"/>
      <w:marBottom w:val="0"/>
      <w:divBdr>
        <w:top w:val="none" w:sz="0" w:space="0" w:color="auto"/>
        <w:left w:val="none" w:sz="0" w:space="0" w:color="auto"/>
        <w:bottom w:val="none" w:sz="0" w:space="0" w:color="auto"/>
        <w:right w:val="none" w:sz="0" w:space="0" w:color="auto"/>
      </w:divBdr>
    </w:div>
    <w:div w:id="1591766783">
      <w:bodyDiv w:val="1"/>
      <w:marLeft w:val="0"/>
      <w:marRight w:val="0"/>
      <w:marTop w:val="0"/>
      <w:marBottom w:val="0"/>
      <w:divBdr>
        <w:top w:val="none" w:sz="0" w:space="0" w:color="auto"/>
        <w:left w:val="none" w:sz="0" w:space="0" w:color="auto"/>
        <w:bottom w:val="none" w:sz="0" w:space="0" w:color="auto"/>
        <w:right w:val="none" w:sz="0" w:space="0" w:color="auto"/>
      </w:divBdr>
    </w:div>
    <w:div w:id="1820608064">
      <w:bodyDiv w:val="1"/>
      <w:marLeft w:val="0"/>
      <w:marRight w:val="0"/>
      <w:marTop w:val="0"/>
      <w:marBottom w:val="0"/>
      <w:divBdr>
        <w:top w:val="none" w:sz="0" w:space="0" w:color="auto"/>
        <w:left w:val="none" w:sz="0" w:space="0" w:color="auto"/>
        <w:bottom w:val="none" w:sz="0" w:space="0" w:color="auto"/>
        <w:right w:val="none" w:sz="0" w:space="0" w:color="auto"/>
      </w:divBdr>
    </w:div>
    <w:div w:id="1834680334">
      <w:bodyDiv w:val="1"/>
      <w:marLeft w:val="0"/>
      <w:marRight w:val="0"/>
      <w:marTop w:val="0"/>
      <w:marBottom w:val="0"/>
      <w:divBdr>
        <w:top w:val="none" w:sz="0" w:space="0" w:color="auto"/>
        <w:left w:val="none" w:sz="0" w:space="0" w:color="auto"/>
        <w:bottom w:val="none" w:sz="0" w:space="0" w:color="auto"/>
        <w:right w:val="none" w:sz="0" w:space="0" w:color="auto"/>
      </w:divBdr>
    </w:div>
    <w:div w:id="1858301246">
      <w:bodyDiv w:val="1"/>
      <w:marLeft w:val="0"/>
      <w:marRight w:val="0"/>
      <w:marTop w:val="0"/>
      <w:marBottom w:val="0"/>
      <w:divBdr>
        <w:top w:val="none" w:sz="0" w:space="0" w:color="auto"/>
        <w:left w:val="none" w:sz="0" w:space="0" w:color="auto"/>
        <w:bottom w:val="none" w:sz="0" w:space="0" w:color="auto"/>
        <w:right w:val="none" w:sz="0" w:space="0" w:color="auto"/>
      </w:divBdr>
    </w:div>
    <w:div w:id="213772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E0CEA31-EA65-F04B-AD54-FED840BCEE5F}">
  <we:reference id="wa104380955" version="3.16.2.1" store="en-US" storeType="OMEX"/>
  <we:alternateReferences>
    <we:reference id="WA104380955" version="3.16.2.1"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413</TotalTime>
  <Pages>4</Pages>
  <Words>1605</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Viet Thinh Nguyen</cp:lastModifiedBy>
  <cp:revision>199</cp:revision>
  <dcterms:created xsi:type="dcterms:W3CDTF">2025-05-26T13:53:00Z</dcterms:created>
  <dcterms:modified xsi:type="dcterms:W3CDTF">2025-05-27T08:34:00Z</dcterms:modified>
</cp:coreProperties>
</file>